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758B78" w14:textId="77777777" w:rsidR="00823A52" w:rsidRDefault="00823A52">
      <w:pPr>
        <w:jc w:val="center"/>
        <w:rPr>
          <w:rFonts w:eastAsia="楷体"/>
          <w:b/>
          <w:bCs/>
          <w:sz w:val="44"/>
        </w:rPr>
      </w:pPr>
    </w:p>
    <w:p w14:paraId="187477BA" w14:textId="77777777" w:rsidR="00823A52" w:rsidRDefault="00823A52">
      <w:pPr>
        <w:jc w:val="center"/>
        <w:rPr>
          <w:rFonts w:eastAsia="楷体"/>
          <w:b/>
          <w:bCs/>
          <w:sz w:val="44"/>
        </w:rPr>
      </w:pPr>
    </w:p>
    <w:p w14:paraId="4721DB15" w14:textId="77777777" w:rsidR="00823A52" w:rsidRDefault="00823A52">
      <w:pPr>
        <w:jc w:val="center"/>
        <w:rPr>
          <w:rFonts w:eastAsia="楷体"/>
          <w:b/>
          <w:bCs/>
          <w:sz w:val="44"/>
        </w:rPr>
      </w:pPr>
    </w:p>
    <w:p w14:paraId="78DE9D86" w14:textId="77777777" w:rsidR="00823A52" w:rsidRDefault="00000000">
      <w:pPr>
        <w:jc w:val="center"/>
        <w:rPr>
          <w:rFonts w:eastAsia="楷体"/>
          <w:b/>
          <w:bCs/>
          <w:sz w:val="60"/>
          <w:szCs w:val="60"/>
        </w:rPr>
      </w:pPr>
      <w:r>
        <w:rPr>
          <w:rFonts w:eastAsia="楷体" w:hint="eastAsia"/>
          <w:b/>
          <w:bCs/>
          <w:sz w:val="60"/>
          <w:szCs w:val="60"/>
        </w:rPr>
        <w:t>江苏汇福蛋白科技</w:t>
      </w:r>
      <w:r>
        <w:rPr>
          <w:rFonts w:eastAsia="楷体"/>
          <w:b/>
          <w:bCs/>
          <w:sz w:val="60"/>
          <w:szCs w:val="60"/>
        </w:rPr>
        <w:t>有限公司</w:t>
      </w:r>
    </w:p>
    <w:p w14:paraId="0F4E2946" w14:textId="77777777" w:rsidR="00823A52" w:rsidRDefault="00000000">
      <w:pPr>
        <w:jc w:val="center"/>
        <w:rPr>
          <w:rFonts w:eastAsia="楷体"/>
          <w:b/>
          <w:bCs/>
          <w:sz w:val="60"/>
          <w:szCs w:val="60"/>
        </w:rPr>
      </w:pPr>
      <w:r>
        <w:rPr>
          <w:rFonts w:eastAsia="楷体"/>
          <w:b/>
          <w:bCs/>
          <w:sz w:val="60"/>
          <w:szCs w:val="60"/>
        </w:rPr>
        <w:t>社会责任报告</w:t>
      </w:r>
    </w:p>
    <w:p w14:paraId="44922531" w14:textId="77777777" w:rsidR="00823A52" w:rsidRDefault="00000000">
      <w:pPr>
        <w:jc w:val="center"/>
        <w:rPr>
          <w:rFonts w:eastAsia="楷体"/>
          <w:b/>
          <w:sz w:val="52"/>
          <w:szCs w:val="52"/>
        </w:rPr>
      </w:pPr>
      <w:r>
        <w:rPr>
          <w:rFonts w:eastAsia="楷体"/>
          <w:b/>
          <w:sz w:val="52"/>
          <w:szCs w:val="52"/>
        </w:rPr>
        <w:t>（</w:t>
      </w:r>
      <w:r>
        <w:rPr>
          <w:rFonts w:eastAsia="楷体"/>
          <w:b/>
          <w:sz w:val="52"/>
          <w:szCs w:val="52"/>
        </w:rPr>
        <w:t>2024</w:t>
      </w:r>
      <w:r>
        <w:rPr>
          <w:rFonts w:eastAsia="楷体"/>
          <w:b/>
          <w:sz w:val="52"/>
          <w:szCs w:val="52"/>
        </w:rPr>
        <w:t>年度）</w:t>
      </w:r>
    </w:p>
    <w:p w14:paraId="35A99C92" w14:textId="77777777" w:rsidR="00823A52" w:rsidRDefault="00823A52">
      <w:pPr>
        <w:jc w:val="center"/>
        <w:rPr>
          <w:rFonts w:eastAsia="楷体"/>
          <w:sz w:val="32"/>
          <w:szCs w:val="28"/>
        </w:rPr>
      </w:pPr>
    </w:p>
    <w:p w14:paraId="46E869BA" w14:textId="77777777" w:rsidR="00823A52" w:rsidRDefault="00823A52">
      <w:pPr>
        <w:jc w:val="center"/>
        <w:rPr>
          <w:rFonts w:eastAsia="楷体"/>
          <w:sz w:val="32"/>
          <w:szCs w:val="28"/>
        </w:rPr>
      </w:pPr>
    </w:p>
    <w:p w14:paraId="5D2CD27F" w14:textId="77777777" w:rsidR="00823A52" w:rsidRDefault="00823A52">
      <w:pPr>
        <w:jc w:val="center"/>
        <w:rPr>
          <w:rFonts w:eastAsia="楷体"/>
          <w:sz w:val="32"/>
          <w:szCs w:val="28"/>
        </w:rPr>
      </w:pPr>
    </w:p>
    <w:p w14:paraId="1B942862" w14:textId="77777777" w:rsidR="00823A52" w:rsidRDefault="00823A52">
      <w:pPr>
        <w:jc w:val="center"/>
        <w:rPr>
          <w:rFonts w:eastAsia="楷体"/>
          <w:sz w:val="32"/>
          <w:szCs w:val="28"/>
        </w:rPr>
      </w:pPr>
    </w:p>
    <w:p w14:paraId="1DDDEDB4" w14:textId="77777777" w:rsidR="00823A52" w:rsidRDefault="00823A52">
      <w:pPr>
        <w:jc w:val="center"/>
        <w:rPr>
          <w:rFonts w:eastAsia="楷体"/>
          <w:sz w:val="32"/>
          <w:szCs w:val="28"/>
        </w:rPr>
      </w:pPr>
    </w:p>
    <w:p w14:paraId="65F4CB69" w14:textId="77777777" w:rsidR="00823A52" w:rsidRDefault="00823A52">
      <w:pPr>
        <w:jc w:val="center"/>
        <w:rPr>
          <w:rFonts w:eastAsia="楷体"/>
          <w:sz w:val="32"/>
          <w:szCs w:val="28"/>
        </w:rPr>
      </w:pPr>
    </w:p>
    <w:p w14:paraId="7B2C5DBF" w14:textId="77777777" w:rsidR="00823A52" w:rsidRDefault="00823A52">
      <w:pPr>
        <w:jc w:val="center"/>
        <w:rPr>
          <w:rFonts w:eastAsia="楷体"/>
          <w:sz w:val="32"/>
          <w:szCs w:val="28"/>
        </w:rPr>
      </w:pPr>
    </w:p>
    <w:p w14:paraId="70156A16" w14:textId="77777777" w:rsidR="00823A52" w:rsidRDefault="00823A52">
      <w:pPr>
        <w:jc w:val="center"/>
        <w:rPr>
          <w:rFonts w:eastAsia="楷体"/>
          <w:sz w:val="32"/>
          <w:szCs w:val="28"/>
        </w:rPr>
      </w:pPr>
    </w:p>
    <w:p w14:paraId="0093B805" w14:textId="77777777" w:rsidR="00823A52" w:rsidRDefault="00823A52">
      <w:pPr>
        <w:jc w:val="center"/>
        <w:rPr>
          <w:rFonts w:eastAsia="楷体"/>
          <w:sz w:val="32"/>
          <w:szCs w:val="28"/>
        </w:rPr>
      </w:pPr>
    </w:p>
    <w:p w14:paraId="3E074C31" w14:textId="77777777" w:rsidR="00823A52" w:rsidRDefault="00823A52">
      <w:pPr>
        <w:jc w:val="center"/>
        <w:rPr>
          <w:rFonts w:eastAsia="楷体"/>
          <w:sz w:val="32"/>
          <w:szCs w:val="28"/>
        </w:rPr>
      </w:pPr>
    </w:p>
    <w:p w14:paraId="3902CC5E" w14:textId="77777777" w:rsidR="00823A52" w:rsidRDefault="00000000">
      <w:pPr>
        <w:jc w:val="center"/>
        <w:rPr>
          <w:rFonts w:eastAsia="楷体"/>
          <w:b/>
          <w:sz w:val="32"/>
          <w:szCs w:val="28"/>
        </w:rPr>
      </w:pPr>
      <w:r>
        <w:rPr>
          <w:rFonts w:eastAsia="楷体"/>
          <w:b/>
          <w:sz w:val="32"/>
          <w:szCs w:val="28"/>
        </w:rPr>
        <w:t>2025</w:t>
      </w:r>
      <w:r>
        <w:rPr>
          <w:rFonts w:eastAsia="楷体"/>
          <w:b/>
          <w:sz w:val="32"/>
          <w:szCs w:val="28"/>
        </w:rPr>
        <w:t>年</w:t>
      </w:r>
      <w:r>
        <w:rPr>
          <w:rFonts w:eastAsia="楷体"/>
          <w:b/>
          <w:sz w:val="32"/>
          <w:szCs w:val="28"/>
        </w:rPr>
        <w:t>1</w:t>
      </w:r>
      <w:r>
        <w:rPr>
          <w:rFonts w:eastAsia="楷体"/>
          <w:b/>
          <w:sz w:val="32"/>
          <w:szCs w:val="28"/>
        </w:rPr>
        <w:t>月</w:t>
      </w:r>
      <w:r>
        <w:rPr>
          <w:rFonts w:eastAsia="楷体"/>
          <w:b/>
          <w:sz w:val="32"/>
          <w:szCs w:val="28"/>
        </w:rPr>
        <w:t>15</w:t>
      </w:r>
      <w:r>
        <w:rPr>
          <w:rFonts w:eastAsia="楷体"/>
          <w:b/>
          <w:sz w:val="32"/>
          <w:szCs w:val="28"/>
        </w:rPr>
        <w:t>日</w:t>
      </w:r>
    </w:p>
    <w:p w14:paraId="3B670BEA" w14:textId="77777777" w:rsidR="00823A52" w:rsidRDefault="00823A52">
      <w:pPr>
        <w:jc w:val="center"/>
        <w:rPr>
          <w:rFonts w:eastAsia="楷体"/>
          <w:sz w:val="32"/>
          <w:szCs w:val="28"/>
        </w:rPr>
      </w:pPr>
    </w:p>
    <w:p w14:paraId="7B40DAB5" w14:textId="77777777" w:rsidR="00823A52" w:rsidRDefault="00823A52">
      <w:pPr>
        <w:jc w:val="center"/>
        <w:rPr>
          <w:rFonts w:eastAsia="楷体"/>
          <w:sz w:val="32"/>
          <w:szCs w:val="28"/>
        </w:rPr>
      </w:pPr>
    </w:p>
    <w:p w14:paraId="021355A2" w14:textId="77777777" w:rsidR="00823A52" w:rsidRDefault="00000000">
      <w:pPr>
        <w:pStyle w:val="2"/>
        <w:rPr>
          <w:rFonts w:ascii="Times New Roman" w:eastAsia="楷体" w:hAnsi="Times New Roman"/>
        </w:rPr>
      </w:pPr>
      <w:bookmarkStart w:id="0" w:name="_Toc522175426"/>
      <w:r>
        <w:rPr>
          <w:rFonts w:ascii="Times New Roman" w:eastAsia="楷体" w:hAnsi="Times New Roman"/>
        </w:rPr>
        <w:lastRenderedPageBreak/>
        <w:t>报告概述</w:t>
      </w:r>
      <w:bookmarkEnd w:id="0"/>
    </w:p>
    <w:p w14:paraId="3AC8CF57" w14:textId="77777777" w:rsidR="00823A52" w:rsidRDefault="00000000">
      <w:pPr>
        <w:ind w:firstLineChars="200" w:firstLine="480"/>
        <w:rPr>
          <w:rFonts w:eastAsia="楷体"/>
          <w:sz w:val="24"/>
          <w:szCs w:val="22"/>
        </w:rPr>
      </w:pPr>
      <w:r>
        <w:rPr>
          <w:rFonts w:eastAsia="楷体"/>
          <w:sz w:val="24"/>
          <w:szCs w:val="22"/>
        </w:rPr>
        <w:t>此报告为</w:t>
      </w:r>
      <w:r>
        <w:rPr>
          <w:rFonts w:eastAsia="楷体" w:hint="eastAsia"/>
          <w:sz w:val="24"/>
          <w:szCs w:val="22"/>
        </w:rPr>
        <w:t>江苏汇福蛋白科技</w:t>
      </w:r>
      <w:r>
        <w:rPr>
          <w:rFonts w:eastAsia="楷体"/>
          <w:sz w:val="24"/>
          <w:szCs w:val="22"/>
        </w:rPr>
        <w:t>有限公司对外公开发布的《社会责任报告》。</w:t>
      </w:r>
      <w:r>
        <w:rPr>
          <w:rFonts w:eastAsia="楷体"/>
          <w:sz w:val="24"/>
          <w:szCs w:val="22"/>
        </w:rPr>
        <w:t xml:space="preserve"> </w:t>
      </w:r>
      <w:r>
        <w:rPr>
          <w:rFonts w:eastAsia="楷体"/>
          <w:sz w:val="24"/>
          <w:szCs w:val="22"/>
        </w:rPr>
        <w:t>本报告参照</w:t>
      </w:r>
      <w:r>
        <w:rPr>
          <w:rFonts w:eastAsia="楷体"/>
          <w:sz w:val="24"/>
          <w:szCs w:val="22"/>
        </w:rPr>
        <w:t>GRI</w:t>
      </w:r>
      <w:r>
        <w:rPr>
          <w:rFonts w:eastAsia="楷体"/>
          <w:sz w:val="24"/>
          <w:szCs w:val="22"/>
        </w:rPr>
        <w:t>（全球报告倡议组织）《可持续发展报告指南》（</w:t>
      </w:r>
      <w:r>
        <w:rPr>
          <w:rFonts w:eastAsia="楷体"/>
          <w:sz w:val="24"/>
          <w:szCs w:val="22"/>
        </w:rPr>
        <w:t>G3</w:t>
      </w:r>
      <w:r>
        <w:rPr>
          <w:rFonts w:eastAsia="楷体"/>
          <w:sz w:val="24"/>
          <w:szCs w:val="22"/>
        </w:rPr>
        <w:t>版）、中国社科院《中国企业社会责任报告编写指南》，并结合</w:t>
      </w:r>
      <w:r>
        <w:rPr>
          <w:rFonts w:eastAsia="楷体"/>
          <w:sz w:val="24"/>
          <w:szCs w:val="22"/>
        </w:rPr>
        <w:t>xx</w:t>
      </w:r>
      <w:r>
        <w:rPr>
          <w:rFonts w:eastAsia="楷体"/>
          <w:sz w:val="24"/>
          <w:szCs w:val="22"/>
        </w:rPr>
        <w:t>对社会责任的独特理解和</w:t>
      </w:r>
      <w:r>
        <w:rPr>
          <w:rFonts w:eastAsia="楷体"/>
          <w:sz w:val="24"/>
          <w:szCs w:val="22"/>
        </w:rPr>
        <w:t>xx</w:t>
      </w:r>
      <w:r>
        <w:rPr>
          <w:rFonts w:eastAsia="楷体"/>
          <w:sz w:val="24"/>
          <w:szCs w:val="22"/>
        </w:rPr>
        <w:t>的具体实践编写而成。</w:t>
      </w:r>
      <w:r>
        <w:rPr>
          <w:rFonts w:eastAsia="楷体"/>
          <w:sz w:val="24"/>
          <w:szCs w:val="22"/>
        </w:rPr>
        <w:t xml:space="preserve"> </w:t>
      </w:r>
    </w:p>
    <w:p w14:paraId="44C70BE2" w14:textId="77777777" w:rsidR="00823A52" w:rsidRDefault="00000000">
      <w:pPr>
        <w:pStyle w:val="2"/>
        <w:rPr>
          <w:rFonts w:ascii="Times New Roman" w:eastAsia="楷体" w:hAnsi="Times New Roman"/>
        </w:rPr>
      </w:pPr>
      <w:bookmarkStart w:id="1" w:name="_Toc522175427"/>
      <w:r>
        <w:rPr>
          <w:rFonts w:ascii="Times New Roman" w:eastAsia="楷体" w:hAnsi="Times New Roman"/>
        </w:rPr>
        <w:t>报告范围</w:t>
      </w:r>
      <w:bookmarkEnd w:id="1"/>
    </w:p>
    <w:p w14:paraId="231FAE53" w14:textId="77777777" w:rsidR="00823A52" w:rsidRDefault="00000000">
      <w:pPr>
        <w:autoSpaceDN w:val="0"/>
        <w:spacing w:before="150" w:after="150" w:line="378" w:lineRule="atLeast"/>
        <w:ind w:firstLine="420"/>
        <w:rPr>
          <w:rFonts w:eastAsia="楷体"/>
          <w:sz w:val="24"/>
          <w:szCs w:val="22"/>
        </w:rPr>
      </w:pPr>
      <w:r>
        <w:rPr>
          <w:rFonts w:eastAsia="楷体"/>
          <w:sz w:val="24"/>
          <w:szCs w:val="22"/>
        </w:rPr>
        <w:t>除非有特殊说明，本报告主要描述</w:t>
      </w:r>
      <w:r>
        <w:rPr>
          <w:rFonts w:eastAsia="楷体"/>
          <w:sz w:val="24"/>
          <w:szCs w:val="22"/>
        </w:rPr>
        <w:t>202</w:t>
      </w:r>
      <w:r>
        <w:rPr>
          <w:rFonts w:eastAsia="楷体" w:hint="eastAsia"/>
          <w:sz w:val="24"/>
          <w:szCs w:val="22"/>
        </w:rPr>
        <w:t>4</w:t>
      </w:r>
      <w:r>
        <w:rPr>
          <w:rFonts w:eastAsia="楷体"/>
          <w:sz w:val="24"/>
          <w:szCs w:val="22"/>
        </w:rPr>
        <w:t>年</w:t>
      </w:r>
      <w:r>
        <w:rPr>
          <w:rFonts w:eastAsia="楷体"/>
          <w:sz w:val="24"/>
          <w:szCs w:val="22"/>
        </w:rPr>
        <w:t>1</w:t>
      </w:r>
      <w:r>
        <w:rPr>
          <w:rFonts w:eastAsia="楷体"/>
          <w:sz w:val="24"/>
          <w:szCs w:val="22"/>
        </w:rPr>
        <w:t>月</w:t>
      </w:r>
      <w:r>
        <w:rPr>
          <w:rFonts w:eastAsia="楷体"/>
          <w:sz w:val="24"/>
          <w:szCs w:val="22"/>
        </w:rPr>
        <w:t>1</w:t>
      </w:r>
      <w:r>
        <w:rPr>
          <w:rFonts w:eastAsia="楷体"/>
          <w:sz w:val="24"/>
          <w:szCs w:val="22"/>
        </w:rPr>
        <w:t>日至</w:t>
      </w:r>
      <w:r>
        <w:rPr>
          <w:rFonts w:eastAsia="楷体"/>
          <w:sz w:val="24"/>
          <w:szCs w:val="22"/>
        </w:rPr>
        <w:t>202</w:t>
      </w:r>
      <w:r>
        <w:rPr>
          <w:rFonts w:eastAsia="楷体" w:hint="eastAsia"/>
          <w:sz w:val="24"/>
          <w:szCs w:val="22"/>
        </w:rPr>
        <w:t>4</w:t>
      </w:r>
      <w:r>
        <w:rPr>
          <w:rFonts w:eastAsia="楷体"/>
          <w:sz w:val="24"/>
          <w:szCs w:val="22"/>
        </w:rPr>
        <w:t>年</w:t>
      </w:r>
      <w:r>
        <w:rPr>
          <w:rFonts w:eastAsia="楷体"/>
          <w:sz w:val="24"/>
          <w:szCs w:val="22"/>
        </w:rPr>
        <w:t>12</w:t>
      </w:r>
      <w:r>
        <w:rPr>
          <w:rFonts w:eastAsia="楷体"/>
          <w:sz w:val="24"/>
          <w:szCs w:val="22"/>
        </w:rPr>
        <w:t>月</w:t>
      </w:r>
      <w:r>
        <w:rPr>
          <w:rFonts w:eastAsia="楷体"/>
          <w:sz w:val="24"/>
          <w:szCs w:val="22"/>
        </w:rPr>
        <w:t>31</w:t>
      </w:r>
      <w:r>
        <w:rPr>
          <w:rFonts w:eastAsia="楷体"/>
          <w:sz w:val="24"/>
          <w:szCs w:val="22"/>
        </w:rPr>
        <w:t>日期间，</w:t>
      </w:r>
      <w:r>
        <w:rPr>
          <w:rFonts w:eastAsia="楷体" w:hint="eastAsia"/>
          <w:sz w:val="24"/>
          <w:szCs w:val="22"/>
        </w:rPr>
        <w:t>江苏汇福蛋白科技</w:t>
      </w:r>
      <w:r>
        <w:rPr>
          <w:rFonts w:eastAsia="楷体"/>
          <w:sz w:val="24"/>
          <w:szCs w:val="22"/>
        </w:rPr>
        <w:t>有限公司在公司运营、内控管理、发展规划、供应链、人才建设等方面的工作，报告内容涵盖了公司重工机械、冶金轧辊、大型铸件制造在营业务。</w:t>
      </w:r>
      <w:r>
        <w:rPr>
          <w:rFonts w:eastAsia="楷体"/>
          <w:sz w:val="24"/>
          <w:szCs w:val="22"/>
        </w:rPr>
        <w:t xml:space="preserve"> </w:t>
      </w:r>
    </w:p>
    <w:p w14:paraId="116F7C19" w14:textId="77777777" w:rsidR="00823A52" w:rsidRDefault="00823A52">
      <w:pPr>
        <w:autoSpaceDN w:val="0"/>
        <w:spacing w:before="150" w:after="150" w:line="378" w:lineRule="atLeast"/>
        <w:rPr>
          <w:rFonts w:eastAsia="楷体"/>
          <w:sz w:val="24"/>
          <w:szCs w:val="21"/>
        </w:rPr>
      </w:pPr>
    </w:p>
    <w:p w14:paraId="7CF88BAB" w14:textId="77777777" w:rsidR="00823A52" w:rsidRDefault="00000000">
      <w:pPr>
        <w:autoSpaceDN w:val="0"/>
        <w:spacing w:before="150" w:after="150" w:line="378" w:lineRule="atLeast"/>
        <w:rPr>
          <w:rFonts w:eastAsia="楷体"/>
          <w:sz w:val="24"/>
          <w:szCs w:val="21"/>
        </w:rPr>
      </w:pPr>
      <w:r>
        <w:rPr>
          <w:rFonts w:eastAsia="楷体" w:hint="eastAsia"/>
          <w:sz w:val="24"/>
          <w:szCs w:val="21"/>
        </w:rPr>
        <w:t>江苏汇福蛋白科技</w:t>
      </w:r>
      <w:r>
        <w:rPr>
          <w:rFonts w:eastAsia="楷体"/>
          <w:sz w:val="24"/>
          <w:szCs w:val="21"/>
        </w:rPr>
        <w:t>有限公司</w:t>
      </w:r>
      <w:r>
        <w:rPr>
          <w:rFonts w:eastAsia="楷体"/>
          <w:sz w:val="24"/>
          <w:szCs w:val="21"/>
        </w:rPr>
        <w:t xml:space="preserve"> </w:t>
      </w:r>
    </w:p>
    <w:p w14:paraId="66130EFD" w14:textId="77777777" w:rsidR="00823A52" w:rsidRDefault="00000000">
      <w:pPr>
        <w:autoSpaceDN w:val="0"/>
        <w:spacing w:before="150" w:after="150" w:line="378" w:lineRule="atLeast"/>
        <w:rPr>
          <w:rFonts w:eastAsia="楷体"/>
          <w:sz w:val="24"/>
          <w:szCs w:val="21"/>
        </w:rPr>
      </w:pPr>
      <w:r>
        <w:rPr>
          <w:rFonts w:eastAsia="楷体"/>
          <w:sz w:val="24"/>
          <w:szCs w:val="21"/>
        </w:rPr>
        <w:t>地址</w:t>
      </w:r>
      <w:r>
        <w:rPr>
          <w:rFonts w:eastAsia="楷体" w:hint="eastAsia"/>
          <w:sz w:val="24"/>
          <w:szCs w:val="21"/>
        </w:rPr>
        <w:t>：江苏省泰州市高港区永安洲镇疏港北路西侧</w:t>
      </w:r>
    </w:p>
    <w:p w14:paraId="0432E119" w14:textId="77777777" w:rsidR="00823A52" w:rsidRDefault="00000000">
      <w:pPr>
        <w:autoSpaceDN w:val="0"/>
        <w:spacing w:before="150" w:after="150" w:line="378" w:lineRule="atLeast"/>
        <w:rPr>
          <w:rFonts w:eastAsia="楷体"/>
          <w:sz w:val="24"/>
          <w:szCs w:val="21"/>
        </w:rPr>
      </w:pPr>
      <w:r>
        <w:rPr>
          <w:rFonts w:eastAsia="楷体"/>
          <w:sz w:val="24"/>
          <w:szCs w:val="21"/>
        </w:rPr>
        <w:t>邮政编码：</w:t>
      </w:r>
      <w:r>
        <w:rPr>
          <w:rFonts w:eastAsia="楷体" w:hint="eastAsia"/>
          <w:sz w:val="24"/>
          <w:szCs w:val="21"/>
        </w:rPr>
        <w:t>225300</w:t>
      </w:r>
    </w:p>
    <w:p w14:paraId="2EF21FC0" w14:textId="77777777" w:rsidR="00823A52" w:rsidRDefault="00000000">
      <w:pPr>
        <w:autoSpaceDN w:val="0"/>
        <w:spacing w:before="150" w:after="150" w:line="378" w:lineRule="atLeast"/>
        <w:rPr>
          <w:rFonts w:eastAsia="楷体"/>
          <w:sz w:val="24"/>
          <w:szCs w:val="21"/>
        </w:rPr>
      </w:pPr>
      <w:r>
        <w:rPr>
          <w:rFonts w:eastAsia="楷体"/>
          <w:sz w:val="24"/>
          <w:szCs w:val="21"/>
        </w:rPr>
        <w:t>电话：</w:t>
      </w:r>
      <w:r>
        <w:rPr>
          <w:rFonts w:eastAsia="楷体" w:hint="eastAsia"/>
          <w:sz w:val="24"/>
          <w:szCs w:val="21"/>
        </w:rPr>
        <w:t>0523-80821266</w:t>
      </w:r>
    </w:p>
    <w:p w14:paraId="19B8CDE9" w14:textId="77777777" w:rsidR="00823A52" w:rsidRDefault="00823A52">
      <w:pPr>
        <w:autoSpaceDN w:val="0"/>
        <w:spacing w:before="150" w:after="150" w:line="378" w:lineRule="atLeast"/>
        <w:rPr>
          <w:rFonts w:eastAsia="楷体"/>
          <w:sz w:val="24"/>
          <w:szCs w:val="21"/>
        </w:rPr>
      </w:pPr>
    </w:p>
    <w:p w14:paraId="61C03038" w14:textId="77777777" w:rsidR="00823A52" w:rsidRDefault="00823A52">
      <w:pPr>
        <w:autoSpaceDN w:val="0"/>
        <w:spacing w:before="150" w:after="150" w:line="378" w:lineRule="atLeast"/>
        <w:rPr>
          <w:rFonts w:eastAsia="楷体"/>
          <w:sz w:val="24"/>
          <w:szCs w:val="21"/>
        </w:rPr>
      </w:pPr>
    </w:p>
    <w:p w14:paraId="2506C69D" w14:textId="77777777" w:rsidR="00823A52" w:rsidRDefault="00823A52">
      <w:pPr>
        <w:autoSpaceDN w:val="0"/>
        <w:spacing w:before="150" w:after="150" w:line="378" w:lineRule="atLeast"/>
        <w:rPr>
          <w:rFonts w:eastAsia="楷体"/>
          <w:sz w:val="24"/>
          <w:szCs w:val="21"/>
        </w:rPr>
      </w:pPr>
    </w:p>
    <w:p w14:paraId="0FFE2897" w14:textId="77777777" w:rsidR="00823A52" w:rsidRDefault="00823A52">
      <w:pPr>
        <w:autoSpaceDN w:val="0"/>
        <w:spacing w:before="150" w:after="150" w:line="378" w:lineRule="atLeast"/>
        <w:rPr>
          <w:rFonts w:eastAsia="楷体"/>
          <w:sz w:val="24"/>
          <w:szCs w:val="21"/>
        </w:rPr>
      </w:pPr>
    </w:p>
    <w:p w14:paraId="2467DB22" w14:textId="77777777" w:rsidR="00823A52" w:rsidRDefault="00823A52">
      <w:pPr>
        <w:autoSpaceDN w:val="0"/>
        <w:spacing w:before="150" w:after="150" w:line="378" w:lineRule="atLeast"/>
        <w:rPr>
          <w:rFonts w:eastAsia="楷体"/>
          <w:sz w:val="24"/>
          <w:szCs w:val="21"/>
        </w:rPr>
      </w:pPr>
    </w:p>
    <w:p w14:paraId="3F4E7C9F" w14:textId="77777777" w:rsidR="00823A52" w:rsidRDefault="00823A52">
      <w:pPr>
        <w:autoSpaceDN w:val="0"/>
        <w:spacing w:before="150" w:after="150" w:line="378" w:lineRule="atLeast"/>
        <w:rPr>
          <w:rFonts w:eastAsia="楷体"/>
          <w:sz w:val="24"/>
          <w:szCs w:val="21"/>
        </w:rPr>
      </w:pPr>
    </w:p>
    <w:p w14:paraId="410FAE5D" w14:textId="77777777" w:rsidR="00823A52" w:rsidRDefault="00823A52">
      <w:pPr>
        <w:autoSpaceDN w:val="0"/>
        <w:spacing w:before="150" w:after="150" w:line="378" w:lineRule="atLeast"/>
        <w:rPr>
          <w:rFonts w:eastAsia="楷体"/>
          <w:sz w:val="24"/>
          <w:szCs w:val="21"/>
        </w:rPr>
      </w:pPr>
    </w:p>
    <w:p w14:paraId="11A0EE05" w14:textId="77777777" w:rsidR="00823A52" w:rsidRDefault="00823A52">
      <w:pPr>
        <w:autoSpaceDN w:val="0"/>
        <w:spacing w:before="150" w:after="150" w:line="378" w:lineRule="atLeast"/>
        <w:rPr>
          <w:rFonts w:eastAsia="楷体"/>
          <w:sz w:val="24"/>
          <w:szCs w:val="21"/>
        </w:rPr>
      </w:pPr>
    </w:p>
    <w:p w14:paraId="65D7ED30" w14:textId="77777777" w:rsidR="00823A52" w:rsidRDefault="00823A52">
      <w:pPr>
        <w:autoSpaceDN w:val="0"/>
        <w:spacing w:before="150" w:after="150" w:line="378" w:lineRule="atLeast"/>
        <w:rPr>
          <w:rFonts w:eastAsia="楷体"/>
          <w:sz w:val="24"/>
          <w:szCs w:val="21"/>
        </w:rPr>
      </w:pPr>
    </w:p>
    <w:p w14:paraId="27B32D32" w14:textId="77777777" w:rsidR="00823A52" w:rsidRDefault="00823A52">
      <w:pPr>
        <w:pStyle w:val="2"/>
        <w:jc w:val="center"/>
        <w:rPr>
          <w:rFonts w:ascii="Times New Roman" w:eastAsia="楷体" w:hAnsi="Times New Roman"/>
        </w:rPr>
      </w:pPr>
    </w:p>
    <w:p w14:paraId="1FD99A14" w14:textId="77777777" w:rsidR="00823A52" w:rsidRDefault="00000000">
      <w:pPr>
        <w:pStyle w:val="2"/>
        <w:jc w:val="center"/>
        <w:rPr>
          <w:rFonts w:ascii="Times New Roman" w:eastAsia="楷体" w:hAnsi="Times New Roman"/>
        </w:rPr>
      </w:pPr>
      <w:bookmarkStart w:id="2" w:name="_Toc522175428"/>
      <w:r>
        <w:rPr>
          <w:rFonts w:ascii="Times New Roman" w:eastAsia="楷体" w:hAnsi="Times New Roman"/>
        </w:rPr>
        <w:t>目</w:t>
      </w:r>
      <w:r>
        <w:rPr>
          <w:rFonts w:ascii="Times New Roman" w:eastAsia="楷体" w:hAnsi="Times New Roman"/>
        </w:rPr>
        <w:t xml:space="preserve">   </w:t>
      </w:r>
      <w:r>
        <w:rPr>
          <w:rFonts w:ascii="Times New Roman" w:eastAsia="楷体" w:hAnsi="Times New Roman"/>
        </w:rPr>
        <w:t>录</w:t>
      </w:r>
      <w:bookmarkEnd w:id="2"/>
    </w:p>
    <w:p w14:paraId="79F8AC9B" w14:textId="77777777" w:rsidR="00823A52" w:rsidRDefault="00823A52">
      <w:pPr>
        <w:rPr>
          <w:rFonts w:eastAsia="楷体"/>
        </w:rPr>
      </w:pPr>
    </w:p>
    <w:p w14:paraId="5402B11D" w14:textId="77777777" w:rsidR="00823A52" w:rsidRDefault="00000000">
      <w:pPr>
        <w:pStyle w:val="TOC2"/>
        <w:tabs>
          <w:tab w:val="right" w:leader="dot" w:pos="8296"/>
        </w:tabs>
        <w:rPr>
          <w:rFonts w:eastAsia="楷体"/>
          <w:b/>
          <w:szCs w:val="22"/>
        </w:rPr>
      </w:pPr>
      <w:r>
        <w:rPr>
          <w:rFonts w:eastAsia="楷体"/>
        </w:rPr>
        <w:fldChar w:fldCharType="begin"/>
      </w:r>
      <w:r>
        <w:rPr>
          <w:rFonts w:eastAsia="楷体"/>
        </w:rPr>
        <w:instrText xml:space="preserve">TOC \o "1-3" \h  \u </w:instrText>
      </w:r>
      <w:r>
        <w:rPr>
          <w:rFonts w:eastAsia="楷体"/>
        </w:rPr>
        <w:fldChar w:fldCharType="separate"/>
      </w:r>
      <w:hyperlink w:anchor="_Toc522175426" w:history="1">
        <w:r>
          <w:rPr>
            <w:rStyle w:val="a7"/>
            <w:rFonts w:eastAsia="楷体"/>
            <w:b/>
          </w:rPr>
          <w:t>报告概述</w:t>
        </w:r>
        <w:r>
          <w:rPr>
            <w:rFonts w:eastAsia="楷体"/>
            <w:b/>
          </w:rPr>
          <w:tab/>
        </w:r>
        <w:r>
          <w:rPr>
            <w:rFonts w:eastAsia="楷体"/>
            <w:b/>
          </w:rPr>
          <w:fldChar w:fldCharType="begin"/>
        </w:r>
        <w:r>
          <w:rPr>
            <w:rFonts w:eastAsia="楷体"/>
            <w:b/>
          </w:rPr>
          <w:instrText xml:space="preserve"> PAGEREF _Toc522175426 \h </w:instrText>
        </w:r>
        <w:r>
          <w:rPr>
            <w:rFonts w:eastAsia="楷体"/>
            <w:b/>
          </w:rPr>
        </w:r>
        <w:r>
          <w:rPr>
            <w:rFonts w:eastAsia="楷体"/>
            <w:b/>
          </w:rPr>
          <w:fldChar w:fldCharType="separate"/>
        </w:r>
        <w:r>
          <w:rPr>
            <w:rFonts w:eastAsia="楷体"/>
            <w:b/>
          </w:rPr>
          <w:t>2</w:t>
        </w:r>
        <w:r>
          <w:rPr>
            <w:rFonts w:eastAsia="楷体"/>
            <w:b/>
          </w:rPr>
          <w:fldChar w:fldCharType="end"/>
        </w:r>
      </w:hyperlink>
    </w:p>
    <w:p w14:paraId="06519AA7" w14:textId="77777777" w:rsidR="00823A52" w:rsidRDefault="00000000">
      <w:pPr>
        <w:pStyle w:val="TOC2"/>
        <w:tabs>
          <w:tab w:val="right" w:leader="dot" w:pos="8296"/>
        </w:tabs>
        <w:rPr>
          <w:rFonts w:eastAsia="楷体"/>
          <w:b/>
          <w:szCs w:val="22"/>
        </w:rPr>
      </w:pPr>
      <w:hyperlink w:anchor="_Toc522175427" w:history="1">
        <w:r>
          <w:rPr>
            <w:rStyle w:val="a7"/>
            <w:rFonts w:eastAsia="楷体"/>
            <w:b/>
          </w:rPr>
          <w:t>报告范围</w:t>
        </w:r>
        <w:r>
          <w:rPr>
            <w:rFonts w:eastAsia="楷体"/>
            <w:b/>
          </w:rPr>
          <w:tab/>
        </w:r>
        <w:r>
          <w:rPr>
            <w:rFonts w:eastAsia="楷体"/>
            <w:b/>
          </w:rPr>
          <w:fldChar w:fldCharType="begin"/>
        </w:r>
        <w:r>
          <w:rPr>
            <w:rFonts w:eastAsia="楷体"/>
            <w:b/>
          </w:rPr>
          <w:instrText xml:space="preserve"> PAGEREF _Toc522175427 \h </w:instrText>
        </w:r>
        <w:r>
          <w:rPr>
            <w:rFonts w:eastAsia="楷体"/>
            <w:b/>
          </w:rPr>
        </w:r>
        <w:r>
          <w:rPr>
            <w:rFonts w:eastAsia="楷体"/>
            <w:b/>
          </w:rPr>
          <w:fldChar w:fldCharType="separate"/>
        </w:r>
        <w:r>
          <w:rPr>
            <w:rFonts w:eastAsia="楷体"/>
            <w:b/>
          </w:rPr>
          <w:t>2</w:t>
        </w:r>
        <w:r>
          <w:rPr>
            <w:rFonts w:eastAsia="楷体"/>
            <w:b/>
          </w:rPr>
          <w:fldChar w:fldCharType="end"/>
        </w:r>
      </w:hyperlink>
    </w:p>
    <w:p w14:paraId="03A6A87A" w14:textId="77777777" w:rsidR="00823A52" w:rsidRDefault="00000000">
      <w:pPr>
        <w:pStyle w:val="TOC2"/>
        <w:tabs>
          <w:tab w:val="right" w:leader="dot" w:pos="8296"/>
        </w:tabs>
        <w:rPr>
          <w:rFonts w:eastAsia="楷体"/>
          <w:b/>
          <w:szCs w:val="22"/>
        </w:rPr>
      </w:pPr>
      <w:hyperlink w:anchor="_Toc522175428" w:history="1">
        <w:r>
          <w:rPr>
            <w:rStyle w:val="a7"/>
            <w:rFonts w:eastAsia="楷体"/>
            <w:b/>
          </w:rPr>
          <w:t>目录</w:t>
        </w:r>
        <w:r>
          <w:rPr>
            <w:rFonts w:eastAsia="楷体"/>
            <w:b/>
          </w:rPr>
          <w:tab/>
        </w:r>
        <w:r>
          <w:rPr>
            <w:rFonts w:eastAsia="楷体"/>
            <w:b/>
          </w:rPr>
          <w:fldChar w:fldCharType="begin"/>
        </w:r>
        <w:r>
          <w:rPr>
            <w:rFonts w:eastAsia="楷体"/>
            <w:b/>
          </w:rPr>
          <w:instrText xml:space="preserve"> PAGEREF _Toc522175428 \h </w:instrText>
        </w:r>
        <w:r>
          <w:rPr>
            <w:rFonts w:eastAsia="楷体"/>
            <w:b/>
          </w:rPr>
        </w:r>
        <w:r>
          <w:rPr>
            <w:rFonts w:eastAsia="楷体"/>
            <w:b/>
          </w:rPr>
          <w:fldChar w:fldCharType="separate"/>
        </w:r>
        <w:r>
          <w:rPr>
            <w:rFonts w:eastAsia="楷体"/>
            <w:b/>
          </w:rPr>
          <w:t>3</w:t>
        </w:r>
        <w:r>
          <w:rPr>
            <w:rFonts w:eastAsia="楷体"/>
            <w:b/>
          </w:rPr>
          <w:fldChar w:fldCharType="end"/>
        </w:r>
      </w:hyperlink>
    </w:p>
    <w:p w14:paraId="2B99FF74" w14:textId="77777777" w:rsidR="00823A52" w:rsidRDefault="00000000">
      <w:pPr>
        <w:pStyle w:val="TOC2"/>
        <w:tabs>
          <w:tab w:val="right" w:leader="dot" w:pos="8296"/>
        </w:tabs>
        <w:rPr>
          <w:rFonts w:eastAsia="楷体"/>
          <w:b/>
          <w:szCs w:val="22"/>
        </w:rPr>
      </w:pPr>
      <w:hyperlink w:anchor="_Toc522175429" w:history="1">
        <w:r>
          <w:rPr>
            <w:rStyle w:val="a7"/>
            <w:rFonts w:eastAsia="楷体"/>
            <w:b/>
          </w:rPr>
          <w:t>一、公司简介：</w:t>
        </w:r>
        <w:r>
          <w:rPr>
            <w:rFonts w:eastAsia="楷体"/>
            <w:b/>
          </w:rPr>
          <w:tab/>
        </w:r>
        <w:r>
          <w:rPr>
            <w:rFonts w:eastAsia="楷体"/>
            <w:b/>
          </w:rPr>
          <w:fldChar w:fldCharType="begin"/>
        </w:r>
        <w:r>
          <w:rPr>
            <w:rFonts w:eastAsia="楷体"/>
            <w:b/>
          </w:rPr>
          <w:instrText xml:space="preserve"> PAGEREF _Toc522175429 \h </w:instrText>
        </w:r>
        <w:r>
          <w:rPr>
            <w:rFonts w:eastAsia="楷体"/>
            <w:b/>
          </w:rPr>
        </w:r>
        <w:r>
          <w:rPr>
            <w:rFonts w:eastAsia="楷体"/>
            <w:b/>
          </w:rPr>
          <w:fldChar w:fldCharType="separate"/>
        </w:r>
        <w:r>
          <w:rPr>
            <w:rFonts w:eastAsia="楷体"/>
            <w:b/>
          </w:rPr>
          <w:t>4</w:t>
        </w:r>
        <w:r>
          <w:rPr>
            <w:rFonts w:eastAsia="楷体"/>
            <w:b/>
          </w:rPr>
          <w:fldChar w:fldCharType="end"/>
        </w:r>
      </w:hyperlink>
    </w:p>
    <w:p w14:paraId="4DE9C248" w14:textId="77777777" w:rsidR="00823A52" w:rsidRDefault="00000000">
      <w:pPr>
        <w:pStyle w:val="TOC2"/>
        <w:tabs>
          <w:tab w:val="right" w:leader="dot" w:pos="8296"/>
        </w:tabs>
        <w:rPr>
          <w:rFonts w:eastAsia="楷体"/>
          <w:b/>
          <w:szCs w:val="22"/>
        </w:rPr>
      </w:pPr>
      <w:hyperlink w:anchor="_Toc522175430" w:history="1">
        <w:r>
          <w:rPr>
            <w:rStyle w:val="a7"/>
            <w:rFonts w:eastAsia="楷体"/>
            <w:b/>
          </w:rPr>
          <w:t>二、经营状况：</w:t>
        </w:r>
        <w:r>
          <w:rPr>
            <w:rFonts w:eastAsia="楷体"/>
            <w:b/>
          </w:rPr>
          <w:tab/>
        </w:r>
        <w:r>
          <w:rPr>
            <w:rFonts w:eastAsia="楷体"/>
            <w:b/>
          </w:rPr>
          <w:fldChar w:fldCharType="begin"/>
        </w:r>
        <w:r>
          <w:rPr>
            <w:rFonts w:eastAsia="楷体"/>
            <w:b/>
          </w:rPr>
          <w:instrText xml:space="preserve"> PAGEREF _Toc522175430 \h </w:instrText>
        </w:r>
        <w:r>
          <w:rPr>
            <w:rFonts w:eastAsia="楷体"/>
            <w:b/>
          </w:rPr>
        </w:r>
        <w:r>
          <w:rPr>
            <w:rFonts w:eastAsia="楷体"/>
            <w:b/>
          </w:rPr>
          <w:fldChar w:fldCharType="separate"/>
        </w:r>
        <w:r>
          <w:rPr>
            <w:rFonts w:eastAsia="楷体"/>
            <w:b/>
          </w:rPr>
          <w:t>5</w:t>
        </w:r>
        <w:r>
          <w:rPr>
            <w:rFonts w:eastAsia="楷体"/>
            <w:b/>
          </w:rPr>
          <w:fldChar w:fldCharType="end"/>
        </w:r>
      </w:hyperlink>
    </w:p>
    <w:p w14:paraId="1BCF2664" w14:textId="77777777" w:rsidR="00823A52" w:rsidRDefault="00000000">
      <w:pPr>
        <w:pStyle w:val="TOC2"/>
        <w:tabs>
          <w:tab w:val="right" w:leader="dot" w:pos="8296"/>
        </w:tabs>
        <w:rPr>
          <w:rFonts w:eastAsia="楷体"/>
          <w:b/>
          <w:szCs w:val="22"/>
        </w:rPr>
      </w:pPr>
      <w:hyperlink w:anchor="_Toc522175431" w:history="1">
        <w:r>
          <w:rPr>
            <w:rStyle w:val="a7"/>
            <w:rFonts w:eastAsia="楷体"/>
            <w:b/>
          </w:rPr>
          <w:t>三、组织架构图</w:t>
        </w:r>
        <w:r>
          <w:rPr>
            <w:rStyle w:val="a7"/>
            <w:rFonts w:eastAsia="楷体"/>
            <w:b/>
          </w:rPr>
          <w:t>:</w:t>
        </w:r>
        <w:r>
          <w:rPr>
            <w:rFonts w:eastAsia="楷体"/>
            <w:b/>
          </w:rPr>
          <w:tab/>
        </w:r>
        <w:r>
          <w:rPr>
            <w:rFonts w:eastAsia="楷体"/>
            <w:b/>
          </w:rPr>
          <w:fldChar w:fldCharType="begin"/>
        </w:r>
        <w:r>
          <w:rPr>
            <w:rFonts w:eastAsia="楷体"/>
            <w:b/>
          </w:rPr>
          <w:instrText xml:space="preserve"> PAGEREF _Toc522175431 \h </w:instrText>
        </w:r>
        <w:r>
          <w:rPr>
            <w:rFonts w:eastAsia="楷体"/>
            <w:b/>
          </w:rPr>
        </w:r>
        <w:r>
          <w:rPr>
            <w:rFonts w:eastAsia="楷体"/>
            <w:b/>
          </w:rPr>
          <w:fldChar w:fldCharType="separate"/>
        </w:r>
        <w:r>
          <w:rPr>
            <w:rFonts w:eastAsia="楷体"/>
            <w:b/>
          </w:rPr>
          <w:t>5</w:t>
        </w:r>
        <w:r>
          <w:rPr>
            <w:rFonts w:eastAsia="楷体"/>
            <w:b/>
          </w:rPr>
          <w:fldChar w:fldCharType="end"/>
        </w:r>
      </w:hyperlink>
    </w:p>
    <w:p w14:paraId="750082D2" w14:textId="77777777" w:rsidR="00823A52" w:rsidRDefault="00000000">
      <w:pPr>
        <w:pStyle w:val="TOC2"/>
        <w:tabs>
          <w:tab w:val="right" w:leader="dot" w:pos="8296"/>
        </w:tabs>
        <w:rPr>
          <w:rFonts w:eastAsia="楷体"/>
          <w:b/>
          <w:szCs w:val="22"/>
        </w:rPr>
      </w:pPr>
      <w:hyperlink w:anchor="_Toc522175432" w:history="1">
        <w:r>
          <w:rPr>
            <w:rStyle w:val="a7"/>
            <w:rFonts w:eastAsia="楷体"/>
            <w:b/>
          </w:rPr>
          <w:t>四、技术创新</w:t>
        </w:r>
        <w:r>
          <w:rPr>
            <w:rFonts w:eastAsia="楷体"/>
            <w:b/>
          </w:rPr>
          <w:tab/>
        </w:r>
        <w:r>
          <w:rPr>
            <w:rFonts w:eastAsia="楷体"/>
            <w:b/>
          </w:rPr>
          <w:fldChar w:fldCharType="begin"/>
        </w:r>
        <w:r>
          <w:rPr>
            <w:rFonts w:eastAsia="楷体"/>
            <w:b/>
          </w:rPr>
          <w:instrText xml:space="preserve"> PAGEREF _Toc522175432 \h </w:instrText>
        </w:r>
        <w:r>
          <w:rPr>
            <w:rFonts w:eastAsia="楷体"/>
            <w:b/>
          </w:rPr>
        </w:r>
        <w:r>
          <w:rPr>
            <w:rFonts w:eastAsia="楷体"/>
            <w:b/>
          </w:rPr>
          <w:fldChar w:fldCharType="separate"/>
        </w:r>
        <w:r>
          <w:rPr>
            <w:rFonts w:eastAsia="楷体"/>
            <w:b/>
          </w:rPr>
          <w:t>5</w:t>
        </w:r>
        <w:r>
          <w:rPr>
            <w:rFonts w:eastAsia="楷体"/>
            <w:b/>
          </w:rPr>
          <w:fldChar w:fldCharType="end"/>
        </w:r>
      </w:hyperlink>
    </w:p>
    <w:p w14:paraId="2FA7B0D8" w14:textId="77777777" w:rsidR="00823A52" w:rsidRDefault="00000000">
      <w:pPr>
        <w:pStyle w:val="TOC2"/>
        <w:tabs>
          <w:tab w:val="right" w:leader="dot" w:pos="8296"/>
        </w:tabs>
        <w:ind w:firstLineChars="200" w:firstLine="420"/>
        <w:rPr>
          <w:rFonts w:eastAsia="楷体"/>
          <w:b/>
          <w:szCs w:val="22"/>
        </w:rPr>
      </w:pPr>
      <w:hyperlink w:anchor="_Toc522175433" w:history="1">
        <w:r>
          <w:rPr>
            <w:rStyle w:val="a7"/>
            <w:rFonts w:eastAsia="楷体"/>
            <w:b/>
          </w:rPr>
          <w:t>1</w:t>
        </w:r>
        <w:r>
          <w:rPr>
            <w:rStyle w:val="a7"/>
            <w:rFonts w:eastAsia="楷体"/>
            <w:b/>
          </w:rPr>
          <w:t>、技术管理工作：</w:t>
        </w:r>
        <w:r>
          <w:rPr>
            <w:rFonts w:eastAsia="楷体"/>
            <w:b/>
          </w:rPr>
          <w:tab/>
        </w:r>
        <w:r>
          <w:rPr>
            <w:rFonts w:eastAsia="楷体"/>
            <w:b/>
          </w:rPr>
          <w:fldChar w:fldCharType="begin"/>
        </w:r>
        <w:r>
          <w:rPr>
            <w:rFonts w:eastAsia="楷体"/>
            <w:b/>
          </w:rPr>
          <w:instrText xml:space="preserve"> PAGEREF _Toc522175433 \h </w:instrText>
        </w:r>
        <w:r>
          <w:rPr>
            <w:rFonts w:eastAsia="楷体"/>
            <w:b/>
          </w:rPr>
        </w:r>
        <w:r>
          <w:rPr>
            <w:rFonts w:eastAsia="楷体"/>
            <w:b/>
          </w:rPr>
          <w:fldChar w:fldCharType="separate"/>
        </w:r>
        <w:r>
          <w:rPr>
            <w:rFonts w:eastAsia="楷体"/>
            <w:b/>
          </w:rPr>
          <w:t>5</w:t>
        </w:r>
        <w:r>
          <w:rPr>
            <w:rFonts w:eastAsia="楷体"/>
            <w:b/>
          </w:rPr>
          <w:fldChar w:fldCharType="end"/>
        </w:r>
      </w:hyperlink>
    </w:p>
    <w:p w14:paraId="4F38205D" w14:textId="77777777" w:rsidR="00823A52" w:rsidRDefault="00000000">
      <w:pPr>
        <w:pStyle w:val="TOC2"/>
        <w:tabs>
          <w:tab w:val="left" w:pos="1260"/>
          <w:tab w:val="right" w:leader="dot" w:pos="8296"/>
        </w:tabs>
        <w:ind w:firstLineChars="200" w:firstLine="420"/>
        <w:rPr>
          <w:rFonts w:eastAsia="楷体"/>
          <w:b/>
          <w:szCs w:val="22"/>
        </w:rPr>
      </w:pPr>
      <w:hyperlink w:anchor="_Toc522175434" w:history="1">
        <w:r>
          <w:rPr>
            <w:rStyle w:val="a7"/>
            <w:rFonts w:eastAsia="楷体"/>
            <w:b/>
          </w:rPr>
          <w:t>2</w:t>
        </w:r>
        <w:r>
          <w:rPr>
            <w:rStyle w:val="a7"/>
            <w:rFonts w:eastAsia="楷体"/>
            <w:b/>
          </w:rPr>
          <w:t>、研发团队建立</w:t>
        </w:r>
        <w:r>
          <w:rPr>
            <w:rFonts w:eastAsia="楷体"/>
            <w:b/>
          </w:rPr>
          <w:tab/>
        </w:r>
        <w:r>
          <w:rPr>
            <w:rFonts w:eastAsia="楷体"/>
            <w:b/>
          </w:rPr>
          <w:fldChar w:fldCharType="begin"/>
        </w:r>
        <w:r>
          <w:rPr>
            <w:rFonts w:eastAsia="楷体"/>
            <w:b/>
          </w:rPr>
          <w:instrText xml:space="preserve"> PAGEREF _Toc522175434 \h </w:instrText>
        </w:r>
        <w:r>
          <w:rPr>
            <w:rFonts w:eastAsia="楷体"/>
            <w:b/>
          </w:rPr>
        </w:r>
        <w:r>
          <w:rPr>
            <w:rFonts w:eastAsia="楷体"/>
            <w:b/>
          </w:rPr>
          <w:fldChar w:fldCharType="separate"/>
        </w:r>
        <w:r>
          <w:rPr>
            <w:rFonts w:eastAsia="楷体"/>
            <w:b/>
          </w:rPr>
          <w:t>7</w:t>
        </w:r>
        <w:r>
          <w:rPr>
            <w:rFonts w:eastAsia="楷体"/>
            <w:b/>
          </w:rPr>
          <w:fldChar w:fldCharType="end"/>
        </w:r>
      </w:hyperlink>
    </w:p>
    <w:p w14:paraId="373E7E15" w14:textId="77777777" w:rsidR="00823A52" w:rsidRDefault="00000000">
      <w:pPr>
        <w:pStyle w:val="TOC3"/>
        <w:tabs>
          <w:tab w:val="left" w:pos="1680"/>
          <w:tab w:val="right" w:leader="dot" w:pos="8296"/>
        </w:tabs>
        <w:rPr>
          <w:rFonts w:eastAsia="楷体"/>
          <w:b/>
          <w:szCs w:val="22"/>
        </w:rPr>
      </w:pPr>
      <w:hyperlink w:anchor="_Toc522175435" w:history="1">
        <w:r>
          <w:rPr>
            <w:rStyle w:val="a7"/>
            <w:rFonts w:eastAsia="楷体"/>
            <w:b/>
          </w:rPr>
          <w:t>3</w:t>
        </w:r>
        <w:r>
          <w:rPr>
            <w:rStyle w:val="a7"/>
            <w:rFonts w:eastAsia="楷体"/>
            <w:b/>
          </w:rPr>
          <w:t>、知识产权工作</w:t>
        </w:r>
        <w:r>
          <w:rPr>
            <w:rFonts w:eastAsia="楷体"/>
            <w:b/>
          </w:rPr>
          <w:tab/>
        </w:r>
        <w:r>
          <w:rPr>
            <w:rFonts w:eastAsia="楷体"/>
            <w:b/>
          </w:rPr>
          <w:fldChar w:fldCharType="begin"/>
        </w:r>
        <w:r>
          <w:rPr>
            <w:rFonts w:eastAsia="楷体"/>
            <w:b/>
          </w:rPr>
          <w:instrText xml:space="preserve"> PAGEREF _Toc522175435 \h </w:instrText>
        </w:r>
        <w:r>
          <w:rPr>
            <w:rFonts w:eastAsia="楷体"/>
            <w:b/>
          </w:rPr>
        </w:r>
        <w:r>
          <w:rPr>
            <w:rFonts w:eastAsia="楷体"/>
            <w:b/>
          </w:rPr>
          <w:fldChar w:fldCharType="separate"/>
        </w:r>
        <w:r>
          <w:rPr>
            <w:rFonts w:eastAsia="楷体"/>
            <w:b/>
          </w:rPr>
          <w:t>7</w:t>
        </w:r>
        <w:r>
          <w:rPr>
            <w:rFonts w:eastAsia="楷体"/>
            <w:b/>
          </w:rPr>
          <w:fldChar w:fldCharType="end"/>
        </w:r>
      </w:hyperlink>
    </w:p>
    <w:p w14:paraId="7377AD7D" w14:textId="77777777" w:rsidR="00823A52" w:rsidRDefault="00000000">
      <w:pPr>
        <w:pStyle w:val="TOC2"/>
        <w:tabs>
          <w:tab w:val="right" w:leader="dot" w:pos="8296"/>
        </w:tabs>
        <w:rPr>
          <w:rFonts w:eastAsia="楷体"/>
          <w:b/>
          <w:szCs w:val="22"/>
        </w:rPr>
      </w:pPr>
      <w:hyperlink w:anchor="_Toc522175436" w:history="1">
        <w:r>
          <w:rPr>
            <w:rStyle w:val="a7"/>
            <w:rFonts w:eastAsia="楷体"/>
            <w:b/>
          </w:rPr>
          <w:t>五、信用建设</w:t>
        </w:r>
        <w:r>
          <w:rPr>
            <w:rFonts w:eastAsia="楷体"/>
            <w:b/>
          </w:rPr>
          <w:tab/>
        </w:r>
        <w:r>
          <w:rPr>
            <w:rFonts w:eastAsia="楷体"/>
            <w:b/>
          </w:rPr>
          <w:fldChar w:fldCharType="begin"/>
        </w:r>
        <w:r>
          <w:rPr>
            <w:rFonts w:eastAsia="楷体"/>
            <w:b/>
          </w:rPr>
          <w:instrText xml:space="preserve"> PAGEREF _Toc522175436 \h </w:instrText>
        </w:r>
        <w:r>
          <w:rPr>
            <w:rFonts w:eastAsia="楷体"/>
            <w:b/>
          </w:rPr>
        </w:r>
        <w:r>
          <w:rPr>
            <w:rFonts w:eastAsia="楷体"/>
            <w:b/>
          </w:rPr>
          <w:fldChar w:fldCharType="separate"/>
        </w:r>
        <w:r>
          <w:rPr>
            <w:rFonts w:eastAsia="楷体"/>
            <w:b/>
          </w:rPr>
          <w:t>7</w:t>
        </w:r>
        <w:r>
          <w:rPr>
            <w:rFonts w:eastAsia="楷体"/>
            <w:b/>
          </w:rPr>
          <w:fldChar w:fldCharType="end"/>
        </w:r>
      </w:hyperlink>
    </w:p>
    <w:p w14:paraId="514787A6" w14:textId="77777777" w:rsidR="00823A52" w:rsidRDefault="00000000">
      <w:pPr>
        <w:pStyle w:val="TOC2"/>
        <w:tabs>
          <w:tab w:val="right" w:leader="dot" w:pos="8296"/>
        </w:tabs>
        <w:rPr>
          <w:rFonts w:eastAsia="楷体"/>
          <w:b/>
          <w:szCs w:val="22"/>
        </w:rPr>
      </w:pPr>
      <w:hyperlink w:anchor="_Toc522175437" w:history="1">
        <w:r>
          <w:rPr>
            <w:rStyle w:val="a7"/>
            <w:rFonts w:eastAsia="楷体"/>
            <w:b/>
          </w:rPr>
          <w:t>六、环保节约</w:t>
        </w:r>
        <w:r>
          <w:rPr>
            <w:rFonts w:eastAsia="楷体"/>
            <w:b/>
          </w:rPr>
          <w:tab/>
        </w:r>
        <w:r>
          <w:rPr>
            <w:rFonts w:eastAsia="楷体"/>
            <w:b/>
          </w:rPr>
          <w:fldChar w:fldCharType="begin"/>
        </w:r>
        <w:r>
          <w:rPr>
            <w:rFonts w:eastAsia="楷体"/>
            <w:b/>
          </w:rPr>
          <w:instrText xml:space="preserve"> PAGEREF _Toc522175437 \h </w:instrText>
        </w:r>
        <w:r>
          <w:rPr>
            <w:rFonts w:eastAsia="楷体"/>
            <w:b/>
          </w:rPr>
        </w:r>
        <w:r>
          <w:rPr>
            <w:rFonts w:eastAsia="楷体"/>
            <w:b/>
          </w:rPr>
          <w:fldChar w:fldCharType="separate"/>
        </w:r>
        <w:r>
          <w:rPr>
            <w:rFonts w:eastAsia="楷体"/>
            <w:b/>
          </w:rPr>
          <w:t>8</w:t>
        </w:r>
        <w:r>
          <w:rPr>
            <w:rFonts w:eastAsia="楷体"/>
            <w:b/>
          </w:rPr>
          <w:fldChar w:fldCharType="end"/>
        </w:r>
      </w:hyperlink>
    </w:p>
    <w:p w14:paraId="402BD33B" w14:textId="77777777" w:rsidR="00823A52" w:rsidRDefault="00000000">
      <w:pPr>
        <w:pStyle w:val="TOC3"/>
        <w:tabs>
          <w:tab w:val="right" w:leader="dot" w:pos="8296"/>
        </w:tabs>
        <w:rPr>
          <w:rFonts w:eastAsia="楷体"/>
          <w:b/>
          <w:szCs w:val="22"/>
        </w:rPr>
      </w:pPr>
      <w:hyperlink w:anchor="_Toc522175438" w:history="1">
        <w:r>
          <w:rPr>
            <w:rStyle w:val="a7"/>
            <w:rFonts w:eastAsia="楷体"/>
            <w:b/>
          </w:rPr>
          <w:t>1</w:t>
        </w:r>
        <w:r>
          <w:rPr>
            <w:rStyle w:val="a7"/>
            <w:rFonts w:eastAsia="楷体"/>
            <w:b/>
          </w:rPr>
          <w:t>、环境管理</w:t>
        </w:r>
        <w:r>
          <w:rPr>
            <w:rFonts w:eastAsia="楷体"/>
            <w:b/>
          </w:rPr>
          <w:tab/>
        </w:r>
        <w:r>
          <w:rPr>
            <w:rFonts w:eastAsia="楷体"/>
            <w:b/>
          </w:rPr>
          <w:fldChar w:fldCharType="begin"/>
        </w:r>
        <w:r>
          <w:rPr>
            <w:rFonts w:eastAsia="楷体"/>
            <w:b/>
          </w:rPr>
          <w:instrText xml:space="preserve"> PAGEREF _Toc522175438 \h </w:instrText>
        </w:r>
        <w:r>
          <w:rPr>
            <w:rFonts w:eastAsia="楷体"/>
            <w:b/>
          </w:rPr>
        </w:r>
        <w:r>
          <w:rPr>
            <w:rFonts w:eastAsia="楷体"/>
            <w:b/>
          </w:rPr>
          <w:fldChar w:fldCharType="separate"/>
        </w:r>
        <w:r>
          <w:rPr>
            <w:rFonts w:eastAsia="楷体"/>
            <w:b/>
          </w:rPr>
          <w:t>8</w:t>
        </w:r>
        <w:r>
          <w:rPr>
            <w:rFonts w:eastAsia="楷体"/>
            <w:b/>
          </w:rPr>
          <w:fldChar w:fldCharType="end"/>
        </w:r>
      </w:hyperlink>
    </w:p>
    <w:p w14:paraId="6C5355CC" w14:textId="77777777" w:rsidR="00823A52" w:rsidRDefault="00000000">
      <w:pPr>
        <w:pStyle w:val="TOC3"/>
        <w:tabs>
          <w:tab w:val="right" w:leader="dot" w:pos="8296"/>
        </w:tabs>
        <w:rPr>
          <w:rFonts w:eastAsia="楷体"/>
          <w:b/>
          <w:szCs w:val="22"/>
        </w:rPr>
      </w:pPr>
      <w:hyperlink w:anchor="_Toc522175439" w:history="1">
        <w:r>
          <w:rPr>
            <w:rStyle w:val="a7"/>
            <w:rFonts w:eastAsia="楷体"/>
            <w:b/>
          </w:rPr>
          <w:t>2</w:t>
        </w:r>
        <w:r>
          <w:rPr>
            <w:rStyle w:val="a7"/>
            <w:rFonts w:eastAsia="楷体"/>
            <w:b/>
          </w:rPr>
          <w:t>、资源节约与综合利用</w:t>
        </w:r>
        <w:r>
          <w:rPr>
            <w:rFonts w:eastAsia="楷体"/>
            <w:b/>
          </w:rPr>
          <w:tab/>
        </w:r>
        <w:r>
          <w:rPr>
            <w:rFonts w:eastAsia="楷体"/>
            <w:b/>
          </w:rPr>
          <w:fldChar w:fldCharType="begin"/>
        </w:r>
        <w:r>
          <w:rPr>
            <w:rFonts w:eastAsia="楷体"/>
            <w:b/>
          </w:rPr>
          <w:instrText xml:space="preserve"> PAGEREF _Toc522175439 \h </w:instrText>
        </w:r>
        <w:r>
          <w:rPr>
            <w:rFonts w:eastAsia="楷体"/>
            <w:b/>
          </w:rPr>
        </w:r>
        <w:r>
          <w:rPr>
            <w:rFonts w:eastAsia="楷体"/>
            <w:b/>
          </w:rPr>
          <w:fldChar w:fldCharType="separate"/>
        </w:r>
        <w:r>
          <w:rPr>
            <w:rFonts w:eastAsia="楷体"/>
            <w:b/>
          </w:rPr>
          <w:t>8</w:t>
        </w:r>
        <w:r>
          <w:rPr>
            <w:rFonts w:eastAsia="楷体"/>
            <w:b/>
          </w:rPr>
          <w:fldChar w:fldCharType="end"/>
        </w:r>
      </w:hyperlink>
    </w:p>
    <w:p w14:paraId="540F6B5E" w14:textId="77777777" w:rsidR="00823A52" w:rsidRDefault="00000000">
      <w:pPr>
        <w:pStyle w:val="TOC2"/>
        <w:tabs>
          <w:tab w:val="right" w:leader="dot" w:pos="8296"/>
        </w:tabs>
        <w:rPr>
          <w:rFonts w:eastAsia="楷体"/>
          <w:b/>
          <w:szCs w:val="22"/>
        </w:rPr>
      </w:pPr>
      <w:hyperlink w:anchor="_Toc522175440" w:history="1">
        <w:r>
          <w:rPr>
            <w:rStyle w:val="a7"/>
            <w:rFonts w:eastAsia="楷体"/>
            <w:b/>
          </w:rPr>
          <w:t>七、安全生产</w:t>
        </w:r>
        <w:r>
          <w:rPr>
            <w:rFonts w:eastAsia="楷体"/>
            <w:b/>
          </w:rPr>
          <w:tab/>
        </w:r>
        <w:r>
          <w:rPr>
            <w:rFonts w:eastAsia="楷体"/>
            <w:b/>
          </w:rPr>
          <w:fldChar w:fldCharType="begin"/>
        </w:r>
        <w:r>
          <w:rPr>
            <w:rFonts w:eastAsia="楷体"/>
            <w:b/>
          </w:rPr>
          <w:instrText xml:space="preserve"> PAGEREF _Toc522175440 \h </w:instrText>
        </w:r>
        <w:r>
          <w:rPr>
            <w:rFonts w:eastAsia="楷体"/>
            <w:b/>
          </w:rPr>
        </w:r>
        <w:r>
          <w:rPr>
            <w:rFonts w:eastAsia="楷体"/>
            <w:b/>
          </w:rPr>
          <w:fldChar w:fldCharType="separate"/>
        </w:r>
        <w:r>
          <w:rPr>
            <w:rFonts w:eastAsia="楷体"/>
            <w:b/>
          </w:rPr>
          <w:t>8</w:t>
        </w:r>
        <w:r>
          <w:rPr>
            <w:rFonts w:eastAsia="楷体"/>
            <w:b/>
          </w:rPr>
          <w:fldChar w:fldCharType="end"/>
        </w:r>
      </w:hyperlink>
    </w:p>
    <w:p w14:paraId="6E96E384" w14:textId="77777777" w:rsidR="00823A52" w:rsidRDefault="00000000">
      <w:pPr>
        <w:pStyle w:val="TOC3"/>
        <w:tabs>
          <w:tab w:val="right" w:leader="dot" w:pos="8296"/>
        </w:tabs>
        <w:rPr>
          <w:rFonts w:eastAsia="楷体"/>
          <w:b/>
          <w:szCs w:val="22"/>
        </w:rPr>
      </w:pPr>
      <w:hyperlink w:anchor="_Toc522175441" w:history="1">
        <w:r>
          <w:rPr>
            <w:rStyle w:val="a7"/>
            <w:rFonts w:eastAsia="楷体"/>
            <w:b/>
          </w:rPr>
          <w:t>1</w:t>
        </w:r>
        <w:r>
          <w:rPr>
            <w:rStyle w:val="a7"/>
            <w:rFonts w:eastAsia="楷体"/>
            <w:b/>
          </w:rPr>
          <w:t>、安全生产管理</w:t>
        </w:r>
        <w:r>
          <w:rPr>
            <w:rFonts w:eastAsia="楷体"/>
            <w:b/>
          </w:rPr>
          <w:tab/>
        </w:r>
        <w:r>
          <w:rPr>
            <w:rFonts w:eastAsia="楷体"/>
            <w:b/>
          </w:rPr>
          <w:fldChar w:fldCharType="begin"/>
        </w:r>
        <w:r>
          <w:rPr>
            <w:rFonts w:eastAsia="楷体"/>
            <w:b/>
          </w:rPr>
          <w:instrText xml:space="preserve"> PAGEREF _Toc522175441 \h </w:instrText>
        </w:r>
        <w:r>
          <w:rPr>
            <w:rFonts w:eastAsia="楷体"/>
            <w:b/>
          </w:rPr>
        </w:r>
        <w:r>
          <w:rPr>
            <w:rFonts w:eastAsia="楷体"/>
            <w:b/>
          </w:rPr>
          <w:fldChar w:fldCharType="separate"/>
        </w:r>
        <w:r>
          <w:rPr>
            <w:rFonts w:eastAsia="楷体"/>
            <w:b/>
          </w:rPr>
          <w:t>8</w:t>
        </w:r>
        <w:r>
          <w:rPr>
            <w:rFonts w:eastAsia="楷体"/>
            <w:b/>
          </w:rPr>
          <w:fldChar w:fldCharType="end"/>
        </w:r>
      </w:hyperlink>
    </w:p>
    <w:p w14:paraId="2DA32E26" w14:textId="77777777" w:rsidR="00823A52" w:rsidRDefault="00000000">
      <w:pPr>
        <w:pStyle w:val="TOC3"/>
        <w:tabs>
          <w:tab w:val="right" w:leader="dot" w:pos="8296"/>
        </w:tabs>
        <w:rPr>
          <w:rFonts w:eastAsia="楷体"/>
          <w:b/>
          <w:szCs w:val="22"/>
        </w:rPr>
      </w:pPr>
      <w:hyperlink w:anchor="_Toc522175442" w:history="1">
        <w:r>
          <w:rPr>
            <w:rStyle w:val="a7"/>
            <w:rFonts w:eastAsia="楷体"/>
            <w:b/>
          </w:rPr>
          <w:t>2</w:t>
        </w:r>
        <w:r>
          <w:rPr>
            <w:rStyle w:val="a7"/>
            <w:rFonts w:eastAsia="楷体"/>
            <w:b/>
          </w:rPr>
          <w:t>、安全生产投入</w:t>
        </w:r>
        <w:r>
          <w:rPr>
            <w:rFonts w:eastAsia="楷体"/>
            <w:b/>
          </w:rPr>
          <w:tab/>
        </w:r>
        <w:r>
          <w:rPr>
            <w:rFonts w:eastAsia="楷体"/>
            <w:b/>
          </w:rPr>
          <w:fldChar w:fldCharType="begin"/>
        </w:r>
        <w:r>
          <w:rPr>
            <w:rFonts w:eastAsia="楷体"/>
            <w:b/>
          </w:rPr>
          <w:instrText xml:space="preserve"> PAGEREF _Toc522175442 \h </w:instrText>
        </w:r>
        <w:r>
          <w:rPr>
            <w:rFonts w:eastAsia="楷体"/>
            <w:b/>
          </w:rPr>
        </w:r>
        <w:r>
          <w:rPr>
            <w:rFonts w:eastAsia="楷体"/>
            <w:b/>
          </w:rPr>
          <w:fldChar w:fldCharType="separate"/>
        </w:r>
        <w:r>
          <w:rPr>
            <w:rFonts w:eastAsia="楷体"/>
            <w:b/>
          </w:rPr>
          <w:t>9</w:t>
        </w:r>
        <w:r>
          <w:rPr>
            <w:rFonts w:eastAsia="楷体"/>
            <w:b/>
          </w:rPr>
          <w:fldChar w:fldCharType="end"/>
        </w:r>
      </w:hyperlink>
    </w:p>
    <w:p w14:paraId="682E308F" w14:textId="77777777" w:rsidR="00823A52" w:rsidRDefault="00000000">
      <w:pPr>
        <w:pStyle w:val="TOC3"/>
        <w:tabs>
          <w:tab w:val="right" w:leader="dot" w:pos="8296"/>
        </w:tabs>
        <w:rPr>
          <w:rFonts w:eastAsia="楷体"/>
          <w:b/>
          <w:szCs w:val="22"/>
        </w:rPr>
      </w:pPr>
      <w:hyperlink w:anchor="_Toc522175443" w:history="1">
        <w:r>
          <w:rPr>
            <w:rStyle w:val="a7"/>
            <w:rFonts w:eastAsia="楷体"/>
            <w:b/>
          </w:rPr>
          <w:t>3</w:t>
        </w:r>
        <w:r>
          <w:rPr>
            <w:rStyle w:val="a7"/>
            <w:rFonts w:eastAsia="楷体"/>
            <w:b/>
          </w:rPr>
          <w:t>、安全生产教育和培训</w:t>
        </w:r>
        <w:r>
          <w:rPr>
            <w:rFonts w:eastAsia="楷体"/>
            <w:b/>
          </w:rPr>
          <w:tab/>
        </w:r>
        <w:r>
          <w:rPr>
            <w:rFonts w:eastAsia="楷体"/>
            <w:b/>
          </w:rPr>
          <w:fldChar w:fldCharType="begin"/>
        </w:r>
        <w:r>
          <w:rPr>
            <w:rFonts w:eastAsia="楷体"/>
            <w:b/>
          </w:rPr>
          <w:instrText xml:space="preserve"> PAGEREF _Toc522175443 \h </w:instrText>
        </w:r>
        <w:r>
          <w:rPr>
            <w:rFonts w:eastAsia="楷体"/>
            <w:b/>
          </w:rPr>
        </w:r>
        <w:r>
          <w:rPr>
            <w:rFonts w:eastAsia="楷体"/>
            <w:b/>
          </w:rPr>
          <w:fldChar w:fldCharType="separate"/>
        </w:r>
        <w:r>
          <w:rPr>
            <w:rFonts w:eastAsia="楷体"/>
            <w:b/>
          </w:rPr>
          <w:t>9</w:t>
        </w:r>
        <w:r>
          <w:rPr>
            <w:rFonts w:eastAsia="楷体"/>
            <w:b/>
          </w:rPr>
          <w:fldChar w:fldCharType="end"/>
        </w:r>
      </w:hyperlink>
    </w:p>
    <w:p w14:paraId="4F09C619" w14:textId="77777777" w:rsidR="00823A52" w:rsidRDefault="00000000">
      <w:pPr>
        <w:pStyle w:val="TOC2"/>
        <w:tabs>
          <w:tab w:val="right" w:leader="dot" w:pos="8296"/>
        </w:tabs>
        <w:rPr>
          <w:rFonts w:eastAsia="楷体"/>
          <w:b/>
          <w:szCs w:val="22"/>
        </w:rPr>
      </w:pPr>
      <w:hyperlink w:anchor="_Toc522175444" w:history="1">
        <w:r>
          <w:rPr>
            <w:rStyle w:val="a7"/>
            <w:rFonts w:eastAsia="楷体"/>
            <w:b/>
          </w:rPr>
          <w:t>八、员工</w:t>
        </w:r>
        <w:r>
          <w:rPr>
            <w:rFonts w:eastAsia="楷体"/>
            <w:b/>
          </w:rPr>
          <w:tab/>
        </w:r>
        <w:r>
          <w:rPr>
            <w:rFonts w:eastAsia="楷体"/>
            <w:b/>
          </w:rPr>
          <w:fldChar w:fldCharType="begin"/>
        </w:r>
        <w:r>
          <w:rPr>
            <w:rFonts w:eastAsia="楷体"/>
            <w:b/>
          </w:rPr>
          <w:instrText xml:space="preserve"> PAGEREF _Toc522175444 \h </w:instrText>
        </w:r>
        <w:r>
          <w:rPr>
            <w:rFonts w:eastAsia="楷体"/>
            <w:b/>
          </w:rPr>
        </w:r>
        <w:r>
          <w:rPr>
            <w:rFonts w:eastAsia="楷体"/>
            <w:b/>
          </w:rPr>
          <w:fldChar w:fldCharType="separate"/>
        </w:r>
        <w:r>
          <w:rPr>
            <w:rFonts w:eastAsia="楷体"/>
            <w:b/>
          </w:rPr>
          <w:t>9</w:t>
        </w:r>
        <w:r>
          <w:rPr>
            <w:rFonts w:eastAsia="楷体"/>
            <w:b/>
          </w:rPr>
          <w:fldChar w:fldCharType="end"/>
        </w:r>
      </w:hyperlink>
    </w:p>
    <w:p w14:paraId="4501995A" w14:textId="77777777" w:rsidR="00823A52" w:rsidRDefault="00000000">
      <w:pPr>
        <w:pStyle w:val="TOC3"/>
        <w:tabs>
          <w:tab w:val="right" w:leader="dot" w:pos="8296"/>
        </w:tabs>
        <w:rPr>
          <w:rFonts w:eastAsia="楷体"/>
          <w:b/>
          <w:szCs w:val="22"/>
        </w:rPr>
      </w:pPr>
      <w:hyperlink w:anchor="_Toc522175445" w:history="1">
        <w:r>
          <w:rPr>
            <w:rStyle w:val="a7"/>
            <w:rFonts w:eastAsia="楷体"/>
            <w:b/>
          </w:rPr>
          <w:t>1</w:t>
        </w:r>
        <w:r>
          <w:rPr>
            <w:rStyle w:val="a7"/>
            <w:rFonts w:eastAsia="楷体"/>
            <w:b/>
          </w:rPr>
          <w:t>、劳动合同与薪酬</w:t>
        </w:r>
        <w:r>
          <w:rPr>
            <w:rFonts w:eastAsia="楷体"/>
            <w:b/>
          </w:rPr>
          <w:tab/>
        </w:r>
        <w:r>
          <w:rPr>
            <w:rFonts w:eastAsia="楷体"/>
            <w:b/>
          </w:rPr>
          <w:fldChar w:fldCharType="begin"/>
        </w:r>
        <w:r>
          <w:rPr>
            <w:rFonts w:eastAsia="楷体"/>
            <w:b/>
          </w:rPr>
          <w:instrText xml:space="preserve"> PAGEREF _Toc522175445 \h </w:instrText>
        </w:r>
        <w:r>
          <w:rPr>
            <w:rFonts w:eastAsia="楷体"/>
            <w:b/>
          </w:rPr>
        </w:r>
        <w:r>
          <w:rPr>
            <w:rFonts w:eastAsia="楷体"/>
            <w:b/>
          </w:rPr>
          <w:fldChar w:fldCharType="separate"/>
        </w:r>
        <w:r>
          <w:rPr>
            <w:rFonts w:eastAsia="楷体"/>
            <w:b/>
          </w:rPr>
          <w:t>9</w:t>
        </w:r>
        <w:r>
          <w:rPr>
            <w:rFonts w:eastAsia="楷体"/>
            <w:b/>
          </w:rPr>
          <w:fldChar w:fldCharType="end"/>
        </w:r>
      </w:hyperlink>
    </w:p>
    <w:p w14:paraId="6964FD97" w14:textId="77777777" w:rsidR="00823A52" w:rsidRDefault="00000000">
      <w:pPr>
        <w:pStyle w:val="TOC3"/>
        <w:tabs>
          <w:tab w:val="right" w:leader="dot" w:pos="8296"/>
        </w:tabs>
        <w:rPr>
          <w:rFonts w:eastAsia="楷体"/>
          <w:b/>
          <w:szCs w:val="22"/>
        </w:rPr>
      </w:pPr>
      <w:hyperlink w:anchor="_Toc522175446" w:history="1">
        <w:r>
          <w:rPr>
            <w:rStyle w:val="a7"/>
            <w:rFonts w:eastAsia="楷体"/>
            <w:b/>
          </w:rPr>
          <w:t>2</w:t>
        </w:r>
        <w:r>
          <w:rPr>
            <w:rStyle w:val="a7"/>
            <w:rFonts w:eastAsia="楷体"/>
            <w:b/>
          </w:rPr>
          <w:t>、社会保障</w:t>
        </w:r>
        <w:r>
          <w:rPr>
            <w:rFonts w:eastAsia="楷体"/>
            <w:b/>
          </w:rPr>
          <w:tab/>
        </w:r>
        <w:r>
          <w:rPr>
            <w:rFonts w:eastAsia="楷体"/>
            <w:b/>
          </w:rPr>
          <w:fldChar w:fldCharType="begin"/>
        </w:r>
        <w:r>
          <w:rPr>
            <w:rFonts w:eastAsia="楷体"/>
            <w:b/>
          </w:rPr>
          <w:instrText xml:space="preserve"> PAGEREF _Toc522175446 \h </w:instrText>
        </w:r>
        <w:r>
          <w:rPr>
            <w:rFonts w:eastAsia="楷体"/>
            <w:b/>
          </w:rPr>
        </w:r>
        <w:r>
          <w:rPr>
            <w:rFonts w:eastAsia="楷体"/>
            <w:b/>
          </w:rPr>
          <w:fldChar w:fldCharType="separate"/>
        </w:r>
        <w:r>
          <w:rPr>
            <w:rFonts w:eastAsia="楷体"/>
            <w:b/>
          </w:rPr>
          <w:t>10</w:t>
        </w:r>
        <w:r>
          <w:rPr>
            <w:rFonts w:eastAsia="楷体"/>
            <w:b/>
          </w:rPr>
          <w:fldChar w:fldCharType="end"/>
        </w:r>
      </w:hyperlink>
    </w:p>
    <w:p w14:paraId="62617946" w14:textId="77777777" w:rsidR="00823A52" w:rsidRDefault="00000000">
      <w:pPr>
        <w:pStyle w:val="TOC3"/>
        <w:tabs>
          <w:tab w:val="right" w:leader="dot" w:pos="8296"/>
        </w:tabs>
        <w:rPr>
          <w:rFonts w:eastAsia="楷体"/>
          <w:b/>
          <w:szCs w:val="22"/>
        </w:rPr>
      </w:pPr>
      <w:hyperlink w:anchor="_Toc522175447" w:history="1">
        <w:r>
          <w:rPr>
            <w:rStyle w:val="a7"/>
            <w:rFonts w:eastAsia="楷体"/>
            <w:b/>
          </w:rPr>
          <w:t>3</w:t>
        </w:r>
        <w:r>
          <w:rPr>
            <w:rStyle w:val="a7"/>
            <w:rFonts w:eastAsia="楷体"/>
            <w:b/>
          </w:rPr>
          <w:t>、员工福利</w:t>
        </w:r>
        <w:r>
          <w:rPr>
            <w:rFonts w:eastAsia="楷体"/>
            <w:b/>
          </w:rPr>
          <w:tab/>
        </w:r>
        <w:r>
          <w:rPr>
            <w:rFonts w:eastAsia="楷体"/>
            <w:b/>
          </w:rPr>
          <w:fldChar w:fldCharType="begin"/>
        </w:r>
        <w:r>
          <w:rPr>
            <w:rFonts w:eastAsia="楷体"/>
            <w:b/>
          </w:rPr>
          <w:instrText xml:space="preserve"> PAGEREF _Toc522175447 \h </w:instrText>
        </w:r>
        <w:r>
          <w:rPr>
            <w:rFonts w:eastAsia="楷体"/>
            <w:b/>
          </w:rPr>
        </w:r>
        <w:r>
          <w:rPr>
            <w:rFonts w:eastAsia="楷体"/>
            <w:b/>
          </w:rPr>
          <w:fldChar w:fldCharType="separate"/>
        </w:r>
        <w:r>
          <w:rPr>
            <w:rFonts w:eastAsia="楷体"/>
            <w:b/>
          </w:rPr>
          <w:t>10</w:t>
        </w:r>
        <w:r>
          <w:rPr>
            <w:rFonts w:eastAsia="楷体"/>
            <w:b/>
          </w:rPr>
          <w:fldChar w:fldCharType="end"/>
        </w:r>
      </w:hyperlink>
    </w:p>
    <w:p w14:paraId="50765017" w14:textId="77777777" w:rsidR="00823A52" w:rsidRDefault="00000000">
      <w:pPr>
        <w:pStyle w:val="TOC3"/>
        <w:tabs>
          <w:tab w:val="right" w:leader="dot" w:pos="8296"/>
        </w:tabs>
        <w:rPr>
          <w:rFonts w:eastAsia="楷体"/>
          <w:b/>
          <w:szCs w:val="22"/>
        </w:rPr>
      </w:pPr>
      <w:hyperlink w:anchor="_Toc522175448" w:history="1">
        <w:r>
          <w:rPr>
            <w:rStyle w:val="a7"/>
            <w:rFonts w:eastAsia="楷体"/>
            <w:b/>
          </w:rPr>
          <w:t>4</w:t>
        </w:r>
        <w:r>
          <w:rPr>
            <w:rStyle w:val="a7"/>
            <w:rFonts w:eastAsia="楷体"/>
            <w:b/>
          </w:rPr>
          <w:t>、职业健康安全</w:t>
        </w:r>
        <w:r>
          <w:rPr>
            <w:rFonts w:eastAsia="楷体"/>
            <w:b/>
          </w:rPr>
          <w:tab/>
        </w:r>
        <w:r>
          <w:rPr>
            <w:rFonts w:eastAsia="楷体"/>
            <w:b/>
          </w:rPr>
          <w:fldChar w:fldCharType="begin"/>
        </w:r>
        <w:r>
          <w:rPr>
            <w:rFonts w:eastAsia="楷体"/>
            <w:b/>
          </w:rPr>
          <w:instrText xml:space="preserve"> PAGEREF _Toc522175448 \h </w:instrText>
        </w:r>
        <w:r>
          <w:rPr>
            <w:rFonts w:eastAsia="楷体"/>
            <w:b/>
          </w:rPr>
        </w:r>
        <w:r>
          <w:rPr>
            <w:rFonts w:eastAsia="楷体"/>
            <w:b/>
          </w:rPr>
          <w:fldChar w:fldCharType="separate"/>
        </w:r>
        <w:r>
          <w:rPr>
            <w:rFonts w:eastAsia="楷体"/>
            <w:b/>
          </w:rPr>
          <w:t>10</w:t>
        </w:r>
        <w:r>
          <w:rPr>
            <w:rFonts w:eastAsia="楷体"/>
            <w:b/>
          </w:rPr>
          <w:fldChar w:fldCharType="end"/>
        </w:r>
      </w:hyperlink>
    </w:p>
    <w:p w14:paraId="65EB5E24" w14:textId="77777777" w:rsidR="00823A52" w:rsidRDefault="00000000">
      <w:pPr>
        <w:pStyle w:val="TOC3"/>
        <w:tabs>
          <w:tab w:val="right" w:leader="dot" w:pos="8296"/>
        </w:tabs>
        <w:rPr>
          <w:rFonts w:eastAsia="楷体"/>
          <w:b/>
          <w:szCs w:val="22"/>
        </w:rPr>
      </w:pPr>
      <w:hyperlink w:anchor="_Toc522175449" w:history="1">
        <w:r>
          <w:rPr>
            <w:rStyle w:val="a7"/>
            <w:rFonts w:eastAsia="楷体"/>
            <w:b/>
          </w:rPr>
          <w:t>5</w:t>
        </w:r>
        <w:r>
          <w:rPr>
            <w:rStyle w:val="a7"/>
            <w:rFonts w:eastAsia="楷体"/>
            <w:b/>
          </w:rPr>
          <w:t>、民主管理</w:t>
        </w:r>
        <w:r>
          <w:rPr>
            <w:rFonts w:eastAsia="楷体"/>
            <w:b/>
          </w:rPr>
          <w:tab/>
        </w:r>
        <w:r>
          <w:rPr>
            <w:rFonts w:eastAsia="楷体"/>
            <w:b/>
          </w:rPr>
          <w:fldChar w:fldCharType="begin"/>
        </w:r>
        <w:r>
          <w:rPr>
            <w:rFonts w:eastAsia="楷体"/>
            <w:b/>
          </w:rPr>
          <w:instrText xml:space="preserve"> PAGEREF _Toc522175449 \h </w:instrText>
        </w:r>
        <w:r>
          <w:rPr>
            <w:rFonts w:eastAsia="楷体"/>
            <w:b/>
          </w:rPr>
        </w:r>
        <w:r>
          <w:rPr>
            <w:rFonts w:eastAsia="楷体"/>
            <w:b/>
          </w:rPr>
          <w:fldChar w:fldCharType="separate"/>
        </w:r>
        <w:r>
          <w:rPr>
            <w:rFonts w:eastAsia="楷体"/>
            <w:b/>
          </w:rPr>
          <w:t>10</w:t>
        </w:r>
        <w:r>
          <w:rPr>
            <w:rFonts w:eastAsia="楷体"/>
            <w:b/>
          </w:rPr>
          <w:fldChar w:fldCharType="end"/>
        </w:r>
      </w:hyperlink>
    </w:p>
    <w:p w14:paraId="1187787A" w14:textId="77777777" w:rsidR="00823A52" w:rsidRDefault="00000000">
      <w:pPr>
        <w:pStyle w:val="TOC3"/>
        <w:tabs>
          <w:tab w:val="right" w:leader="dot" w:pos="8296"/>
        </w:tabs>
        <w:rPr>
          <w:rFonts w:eastAsia="楷体"/>
          <w:b/>
          <w:szCs w:val="22"/>
        </w:rPr>
      </w:pPr>
      <w:hyperlink w:anchor="_Toc522175450" w:history="1">
        <w:r>
          <w:rPr>
            <w:rStyle w:val="a7"/>
            <w:rFonts w:eastAsia="楷体"/>
            <w:b/>
          </w:rPr>
          <w:t>6</w:t>
        </w:r>
        <w:r>
          <w:rPr>
            <w:rStyle w:val="a7"/>
            <w:rFonts w:eastAsia="楷体"/>
            <w:b/>
          </w:rPr>
          <w:t>、员工培训和发展</w:t>
        </w:r>
        <w:r>
          <w:rPr>
            <w:rFonts w:eastAsia="楷体"/>
            <w:b/>
          </w:rPr>
          <w:tab/>
        </w:r>
        <w:r>
          <w:rPr>
            <w:rFonts w:eastAsia="楷体"/>
            <w:b/>
          </w:rPr>
          <w:fldChar w:fldCharType="begin"/>
        </w:r>
        <w:r>
          <w:rPr>
            <w:rFonts w:eastAsia="楷体"/>
            <w:b/>
          </w:rPr>
          <w:instrText xml:space="preserve"> PAGEREF _Toc522175450 \h </w:instrText>
        </w:r>
        <w:r>
          <w:rPr>
            <w:rFonts w:eastAsia="楷体"/>
            <w:b/>
          </w:rPr>
        </w:r>
        <w:r>
          <w:rPr>
            <w:rFonts w:eastAsia="楷体"/>
            <w:b/>
          </w:rPr>
          <w:fldChar w:fldCharType="separate"/>
        </w:r>
        <w:r>
          <w:rPr>
            <w:rFonts w:eastAsia="楷体"/>
            <w:b/>
          </w:rPr>
          <w:t>11</w:t>
        </w:r>
        <w:r>
          <w:rPr>
            <w:rFonts w:eastAsia="楷体"/>
            <w:b/>
          </w:rPr>
          <w:fldChar w:fldCharType="end"/>
        </w:r>
      </w:hyperlink>
    </w:p>
    <w:p w14:paraId="15259B4B" w14:textId="77777777" w:rsidR="00823A52" w:rsidRDefault="00000000">
      <w:pPr>
        <w:pStyle w:val="TOC2"/>
        <w:tabs>
          <w:tab w:val="right" w:leader="dot" w:pos="8296"/>
        </w:tabs>
        <w:rPr>
          <w:rFonts w:eastAsia="楷体"/>
          <w:b/>
          <w:szCs w:val="22"/>
        </w:rPr>
      </w:pPr>
      <w:hyperlink w:anchor="_Toc522175451" w:history="1">
        <w:r>
          <w:rPr>
            <w:rStyle w:val="a7"/>
            <w:rFonts w:eastAsia="楷体"/>
            <w:b/>
          </w:rPr>
          <w:t>九、社会责任</w:t>
        </w:r>
        <w:r>
          <w:rPr>
            <w:rFonts w:eastAsia="楷体"/>
            <w:b/>
          </w:rPr>
          <w:tab/>
        </w:r>
        <w:r>
          <w:rPr>
            <w:rFonts w:eastAsia="楷体"/>
            <w:b/>
          </w:rPr>
          <w:fldChar w:fldCharType="begin"/>
        </w:r>
        <w:r>
          <w:rPr>
            <w:rFonts w:eastAsia="楷体"/>
            <w:b/>
          </w:rPr>
          <w:instrText xml:space="preserve"> PAGEREF _Toc522175451 \h </w:instrText>
        </w:r>
        <w:r>
          <w:rPr>
            <w:rFonts w:eastAsia="楷体"/>
            <w:b/>
          </w:rPr>
        </w:r>
        <w:r>
          <w:rPr>
            <w:rFonts w:eastAsia="楷体"/>
            <w:b/>
          </w:rPr>
          <w:fldChar w:fldCharType="separate"/>
        </w:r>
        <w:r>
          <w:rPr>
            <w:rFonts w:eastAsia="楷体"/>
            <w:b/>
          </w:rPr>
          <w:t>11</w:t>
        </w:r>
        <w:r>
          <w:rPr>
            <w:rFonts w:eastAsia="楷体"/>
            <w:b/>
          </w:rPr>
          <w:fldChar w:fldCharType="end"/>
        </w:r>
      </w:hyperlink>
    </w:p>
    <w:p w14:paraId="5EC33DD9" w14:textId="77777777" w:rsidR="00823A52" w:rsidRDefault="00000000">
      <w:pPr>
        <w:pStyle w:val="TOC2"/>
        <w:tabs>
          <w:tab w:val="right" w:leader="dot" w:pos="8296"/>
        </w:tabs>
        <w:rPr>
          <w:rFonts w:eastAsia="楷体"/>
          <w:b/>
          <w:szCs w:val="22"/>
        </w:rPr>
      </w:pPr>
      <w:hyperlink w:anchor="_Toc522175452" w:history="1">
        <w:r>
          <w:rPr>
            <w:rStyle w:val="a7"/>
            <w:rFonts w:eastAsia="楷体"/>
            <w:b/>
          </w:rPr>
          <w:t>提要</w:t>
        </w:r>
        <w:r>
          <w:rPr>
            <w:rFonts w:eastAsia="楷体"/>
            <w:b/>
          </w:rPr>
          <w:tab/>
        </w:r>
        <w:r>
          <w:rPr>
            <w:rFonts w:eastAsia="楷体"/>
            <w:b/>
          </w:rPr>
          <w:fldChar w:fldCharType="begin"/>
        </w:r>
        <w:r>
          <w:rPr>
            <w:rFonts w:eastAsia="楷体"/>
            <w:b/>
          </w:rPr>
          <w:instrText xml:space="preserve"> PAGEREF _Toc522175452 \h </w:instrText>
        </w:r>
        <w:r>
          <w:rPr>
            <w:rFonts w:eastAsia="楷体"/>
            <w:b/>
          </w:rPr>
        </w:r>
        <w:r>
          <w:rPr>
            <w:rFonts w:eastAsia="楷体"/>
            <w:b/>
          </w:rPr>
          <w:fldChar w:fldCharType="separate"/>
        </w:r>
        <w:r>
          <w:rPr>
            <w:rFonts w:eastAsia="楷体"/>
            <w:b/>
          </w:rPr>
          <w:t>11</w:t>
        </w:r>
        <w:r>
          <w:rPr>
            <w:rFonts w:eastAsia="楷体"/>
            <w:b/>
          </w:rPr>
          <w:fldChar w:fldCharType="end"/>
        </w:r>
      </w:hyperlink>
    </w:p>
    <w:p w14:paraId="0328911E" w14:textId="77777777" w:rsidR="00823A52" w:rsidRDefault="00000000">
      <w:pPr>
        <w:pStyle w:val="TOC2"/>
        <w:tabs>
          <w:tab w:val="right" w:leader="dot" w:pos="8296"/>
        </w:tabs>
        <w:ind w:firstLineChars="196" w:firstLine="412"/>
        <w:rPr>
          <w:rFonts w:eastAsia="楷体"/>
          <w:b/>
          <w:szCs w:val="22"/>
        </w:rPr>
      </w:pPr>
      <w:hyperlink w:anchor="_Toc522175453" w:history="1">
        <w:r>
          <w:rPr>
            <w:rStyle w:val="a7"/>
            <w:rFonts w:eastAsia="楷体"/>
            <w:b/>
          </w:rPr>
          <w:t>1</w:t>
        </w:r>
        <w:r>
          <w:rPr>
            <w:rStyle w:val="a7"/>
            <w:rFonts w:eastAsia="楷体"/>
            <w:b/>
          </w:rPr>
          <w:t>、公共责任</w:t>
        </w:r>
        <w:r>
          <w:rPr>
            <w:rFonts w:eastAsia="楷体"/>
            <w:b/>
          </w:rPr>
          <w:tab/>
        </w:r>
        <w:r>
          <w:rPr>
            <w:rFonts w:eastAsia="楷体"/>
            <w:b/>
          </w:rPr>
          <w:fldChar w:fldCharType="begin"/>
        </w:r>
        <w:r>
          <w:rPr>
            <w:rFonts w:eastAsia="楷体"/>
            <w:b/>
          </w:rPr>
          <w:instrText xml:space="preserve"> PAGEREF _Toc522175453 \h </w:instrText>
        </w:r>
        <w:r>
          <w:rPr>
            <w:rFonts w:eastAsia="楷体"/>
            <w:b/>
          </w:rPr>
        </w:r>
        <w:r>
          <w:rPr>
            <w:rFonts w:eastAsia="楷体"/>
            <w:b/>
          </w:rPr>
          <w:fldChar w:fldCharType="separate"/>
        </w:r>
        <w:r>
          <w:rPr>
            <w:rFonts w:eastAsia="楷体"/>
            <w:b/>
          </w:rPr>
          <w:t>12</w:t>
        </w:r>
        <w:r>
          <w:rPr>
            <w:rFonts w:eastAsia="楷体"/>
            <w:b/>
          </w:rPr>
          <w:fldChar w:fldCharType="end"/>
        </w:r>
      </w:hyperlink>
    </w:p>
    <w:p w14:paraId="4653D2DC" w14:textId="77777777" w:rsidR="00823A52" w:rsidRDefault="00000000">
      <w:pPr>
        <w:pStyle w:val="TOC2"/>
        <w:tabs>
          <w:tab w:val="right" w:leader="dot" w:pos="8296"/>
        </w:tabs>
        <w:ind w:firstLineChars="196" w:firstLine="412"/>
        <w:rPr>
          <w:rFonts w:eastAsia="楷体"/>
          <w:b/>
          <w:szCs w:val="22"/>
        </w:rPr>
      </w:pPr>
      <w:hyperlink w:anchor="_Toc522175454" w:history="1">
        <w:r>
          <w:rPr>
            <w:rStyle w:val="a7"/>
            <w:rFonts w:eastAsia="楷体"/>
            <w:b/>
          </w:rPr>
          <w:t>2</w:t>
        </w:r>
        <w:r>
          <w:rPr>
            <w:rStyle w:val="a7"/>
            <w:rFonts w:eastAsia="楷体"/>
            <w:b/>
          </w:rPr>
          <w:t>、道德行为</w:t>
        </w:r>
        <w:r>
          <w:rPr>
            <w:rFonts w:eastAsia="楷体"/>
            <w:b/>
          </w:rPr>
          <w:tab/>
        </w:r>
        <w:r>
          <w:rPr>
            <w:rFonts w:eastAsia="楷体"/>
            <w:b/>
          </w:rPr>
          <w:fldChar w:fldCharType="begin"/>
        </w:r>
        <w:r>
          <w:rPr>
            <w:rFonts w:eastAsia="楷体"/>
            <w:b/>
          </w:rPr>
          <w:instrText xml:space="preserve"> PAGEREF _Toc522175454 \h </w:instrText>
        </w:r>
        <w:r>
          <w:rPr>
            <w:rFonts w:eastAsia="楷体"/>
            <w:b/>
          </w:rPr>
        </w:r>
        <w:r>
          <w:rPr>
            <w:rFonts w:eastAsia="楷体"/>
            <w:b/>
          </w:rPr>
          <w:fldChar w:fldCharType="separate"/>
        </w:r>
        <w:r>
          <w:rPr>
            <w:rFonts w:eastAsia="楷体"/>
            <w:b/>
          </w:rPr>
          <w:t>15</w:t>
        </w:r>
        <w:r>
          <w:rPr>
            <w:rFonts w:eastAsia="楷体"/>
            <w:b/>
          </w:rPr>
          <w:fldChar w:fldCharType="end"/>
        </w:r>
      </w:hyperlink>
    </w:p>
    <w:p w14:paraId="18CD2D26" w14:textId="77777777" w:rsidR="00823A52" w:rsidRDefault="00000000">
      <w:pPr>
        <w:pStyle w:val="TOC2"/>
        <w:tabs>
          <w:tab w:val="left" w:pos="1260"/>
          <w:tab w:val="right" w:leader="dot" w:pos="8296"/>
        </w:tabs>
        <w:ind w:firstLineChars="196" w:firstLine="412"/>
        <w:rPr>
          <w:rFonts w:eastAsia="楷体"/>
          <w:szCs w:val="22"/>
        </w:rPr>
      </w:pPr>
      <w:hyperlink w:anchor="_Toc522175455" w:history="1">
        <w:r>
          <w:rPr>
            <w:rStyle w:val="a7"/>
            <w:rFonts w:eastAsia="楷体"/>
            <w:b/>
          </w:rPr>
          <w:t>3</w:t>
        </w:r>
        <w:r>
          <w:rPr>
            <w:rStyle w:val="a7"/>
            <w:rFonts w:eastAsia="楷体"/>
            <w:b/>
          </w:rPr>
          <w:t>、自愿开展公益支持：</w:t>
        </w:r>
        <w:r>
          <w:rPr>
            <w:rFonts w:eastAsia="楷体"/>
            <w:b/>
          </w:rPr>
          <w:tab/>
        </w:r>
        <w:r>
          <w:rPr>
            <w:rFonts w:eastAsia="楷体"/>
            <w:b/>
          </w:rPr>
          <w:fldChar w:fldCharType="begin"/>
        </w:r>
        <w:r>
          <w:rPr>
            <w:rFonts w:eastAsia="楷体"/>
            <w:b/>
          </w:rPr>
          <w:instrText xml:space="preserve"> PAGEREF _Toc522175455 \h </w:instrText>
        </w:r>
        <w:r>
          <w:rPr>
            <w:rFonts w:eastAsia="楷体"/>
            <w:b/>
          </w:rPr>
        </w:r>
        <w:r>
          <w:rPr>
            <w:rFonts w:eastAsia="楷体"/>
            <w:b/>
          </w:rPr>
          <w:fldChar w:fldCharType="separate"/>
        </w:r>
        <w:r>
          <w:rPr>
            <w:rFonts w:eastAsia="楷体"/>
            <w:b/>
          </w:rPr>
          <w:t>17</w:t>
        </w:r>
        <w:r>
          <w:rPr>
            <w:rFonts w:eastAsia="楷体"/>
            <w:b/>
          </w:rPr>
          <w:fldChar w:fldCharType="end"/>
        </w:r>
      </w:hyperlink>
    </w:p>
    <w:p w14:paraId="1249D284" w14:textId="77777777" w:rsidR="00823A52" w:rsidRDefault="00000000">
      <w:pPr>
        <w:rPr>
          <w:rFonts w:eastAsia="楷体"/>
        </w:rPr>
      </w:pPr>
      <w:r>
        <w:rPr>
          <w:rFonts w:eastAsia="楷体"/>
        </w:rPr>
        <w:fldChar w:fldCharType="end"/>
      </w:r>
    </w:p>
    <w:p w14:paraId="351DBEE9" w14:textId="77777777" w:rsidR="00823A52" w:rsidRDefault="00823A52">
      <w:pPr>
        <w:rPr>
          <w:rFonts w:eastAsia="楷体"/>
        </w:rPr>
      </w:pPr>
    </w:p>
    <w:p w14:paraId="5131C9E2" w14:textId="77777777" w:rsidR="00823A52" w:rsidRDefault="00823A52">
      <w:pPr>
        <w:rPr>
          <w:rFonts w:eastAsia="楷体"/>
        </w:rPr>
      </w:pPr>
    </w:p>
    <w:p w14:paraId="7E1AC9C0" w14:textId="77777777" w:rsidR="00823A52" w:rsidRDefault="00823A52">
      <w:pPr>
        <w:rPr>
          <w:rFonts w:eastAsia="楷体"/>
        </w:rPr>
      </w:pPr>
    </w:p>
    <w:p w14:paraId="64BAC51B" w14:textId="77777777" w:rsidR="00823A52" w:rsidRDefault="00823A52">
      <w:pPr>
        <w:rPr>
          <w:rFonts w:eastAsia="楷体"/>
        </w:rPr>
      </w:pPr>
    </w:p>
    <w:p w14:paraId="6C288E79" w14:textId="77777777" w:rsidR="00823A52" w:rsidRDefault="00823A52">
      <w:pPr>
        <w:rPr>
          <w:rFonts w:eastAsia="楷体"/>
        </w:rPr>
      </w:pPr>
    </w:p>
    <w:p w14:paraId="6AEEA6D9" w14:textId="77777777" w:rsidR="00823A52" w:rsidRDefault="00000000">
      <w:pPr>
        <w:pStyle w:val="2"/>
        <w:rPr>
          <w:rFonts w:ascii="Times New Roman" w:eastAsia="楷体" w:hAnsi="Times New Roman"/>
        </w:rPr>
      </w:pPr>
      <w:bookmarkStart w:id="3" w:name="_Toc522175429"/>
      <w:r>
        <w:rPr>
          <w:rFonts w:ascii="Times New Roman" w:eastAsia="楷体" w:hAnsi="Times New Roman"/>
        </w:rPr>
        <w:lastRenderedPageBreak/>
        <w:t>一、公司简介：</w:t>
      </w:r>
      <w:bookmarkEnd w:id="3"/>
    </w:p>
    <w:p w14:paraId="6083CC70" w14:textId="77777777" w:rsidR="00823A52" w:rsidRDefault="00000000">
      <w:pPr>
        <w:pStyle w:val="2"/>
        <w:ind w:firstLineChars="200" w:firstLine="464"/>
        <w:rPr>
          <w:rFonts w:ascii="Times New Roman" w:eastAsia="楷体" w:hAnsi="Times New Roman"/>
          <w:b w:val="0"/>
          <w:spacing w:val="-4"/>
          <w:sz w:val="24"/>
        </w:rPr>
      </w:pPr>
      <w:bookmarkStart w:id="4" w:name="_Toc522175430"/>
      <w:r>
        <w:rPr>
          <w:rFonts w:ascii="Times New Roman" w:eastAsia="楷体" w:hAnsi="Times New Roman" w:hint="eastAsia"/>
          <w:b w:val="0"/>
          <w:spacing w:val="-4"/>
          <w:sz w:val="24"/>
        </w:rPr>
        <w:t xml:space="preserve"> </w:t>
      </w:r>
      <w:r>
        <w:rPr>
          <w:rFonts w:ascii="Times New Roman" w:eastAsia="楷体" w:hAnsi="Times New Roman" w:hint="eastAsia"/>
          <w:b w:val="0"/>
          <w:spacing w:val="-4"/>
          <w:sz w:val="24"/>
        </w:rPr>
        <w:t>江苏汇福蛋白科技有限公司成立于</w:t>
      </w:r>
      <w:r>
        <w:rPr>
          <w:rFonts w:ascii="Times New Roman" w:eastAsia="楷体" w:hAnsi="Times New Roman" w:hint="eastAsia"/>
          <w:b w:val="0"/>
          <w:spacing w:val="-4"/>
          <w:sz w:val="24"/>
        </w:rPr>
        <w:t>2014</w:t>
      </w:r>
      <w:r>
        <w:rPr>
          <w:rFonts w:ascii="Times New Roman" w:eastAsia="楷体" w:hAnsi="Times New Roman" w:hint="eastAsia"/>
          <w:b w:val="0"/>
          <w:spacing w:val="-4"/>
          <w:sz w:val="24"/>
        </w:rPr>
        <w:t>年</w:t>
      </w:r>
      <w:r>
        <w:rPr>
          <w:rFonts w:ascii="Times New Roman" w:eastAsia="楷体" w:hAnsi="Times New Roman" w:hint="eastAsia"/>
          <w:b w:val="0"/>
          <w:spacing w:val="-4"/>
          <w:sz w:val="24"/>
        </w:rPr>
        <w:t>03</w:t>
      </w:r>
      <w:r>
        <w:rPr>
          <w:rFonts w:ascii="Times New Roman" w:eastAsia="楷体" w:hAnsi="Times New Roman" w:hint="eastAsia"/>
          <w:b w:val="0"/>
          <w:spacing w:val="-4"/>
          <w:sz w:val="24"/>
        </w:rPr>
        <w:t>月</w:t>
      </w:r>
      <w:r>
        <w:rPr>
          <w:rFonts w:ascii="Times New Roman" w:eastAsia="楷体" w:hAnsi="Times New Roman" w:hint="eastAsia"/>
          <w:b w:val="0"/>
          <w:spacing w:val="-4"/>
          <w:sz w:val="24"/>
        </w:rPr>
        <w:t>28</w:t>
      </w:r>
      <w:r>
        <w:rPr>
          <w:rFonts w:ascii="Times New Roman" w:eastAsia="楷体" w:hAnsi="Times New Roman" w:hint="eastAsia"/>
          <w:b w:val="0"/>
          <w:spacing w:val="-4"/>
          <w:sz w:val="24"/>
        </w:rPr>
        <w:t>日，公司坐落于泰州市高港区永安洲镇疏港北路西侧，占地面积</w:t>
      </w:r>
      <w:r>
        <w:rPr>
          <w:rFonts w:ascii="Times New Roman" w:eastAsia="楷体" w:hAnsi="Times New Roman" w:hint="eastAsia"/>
          <w:b w:val="0"/>
          <w:spacing w:val="-4"/>
          <w:sz w:val="24"/>
        </w:rPr>
        <w:t>229.48</w:t>
      </w:r>
      <w:r>
        <w:rPr>
          <w:rFonts w:ascii="Times New Roman" w:eastAsia="楷体" w:hAnsi="Times New Roman" w:hint="eastAsia"/>
          <w:b w:val="0"/>
          <w:spacing w:val="-4"/>
          <w:sz w:val="24"/>
        </w:rPr>
        <w:t>亩。企业类型：有限责任公司。注册资本人民币</w:t>
      </w:r>
      <w:r>
        <w:rPr>
          <w:rFonts w:ascii="Times New Roman" w:eastAsia="楷体" w:hAnsi="Times New Roman" w:hint="eastAsia"/>
          <w:b w:val="0"/>
          <w:spacing w:val="-4"/>
          <w:sz w:val="24"/>
        </w:rPr>
        <w:t>40000</w:t>
      </w:r>
      <w:r>
        <w:rPr>
          <w:rFonts w:ascii="Times New Roman" w:eastAsia="楷体" w:hAnsi="Times New Roman" w:hint="eastAsia"/>
          <w:b w:val="0"/>
          <w:spacing w:val="-4"/>
          <w:sz w:val="24"/>
        </w:rPr>
        <w:t>万元整，是</w:t>
      </w:r>
      <w:proofErr w:type="gramStart"/>
      <w:r>
        <w:rPr>
          <w:rFonts w:ascii="Times New Roman" w:eastAsia="楷体" w:hAnsi="Times New Roman" w:hint="eastAsia"/>
          <w:b w:val="0"/>
          <w:spacing w:val="-4"/>
          <w:sz w:val="24"/>
        </w:rPr>
        <w:t>三河汇福粮油</w:t>
      </w:r>
      <w:proofErr w:type="gramEnd"/>
      <w:r>
        <w:rPr>
          <w:rFonts w:ascii="Times New Roman" w:eastAsia="楷体" w:hAnsi="Times New Roman" w:hint="eastAsia"/>
          <w:b w:val="0"/>
          <w:spacing w:val="-4"/>
          <w:sz w:val="24"/>
        </w:rPr>
        <w:t>集团有限公司的全资子公司，法定代表人为王振山。公司主要经营范围：加工、销售大豆、植物油、豆</w:t>
      </w:r>
      <w:proofErr w:type="gramStart"/>
      <w:r>
        <w:rPr>
          <w:rFonts w:ascii="Times New Roman" w:eastAsia="楷体" w:hAnsi="Times New Roman" w:hint="eastAsia"/>
          <w:b w:val="0"/>
          <w:spacing w:val="-4"/>
          <w:sz w:val="24"/>
        </w:rPr>
        <w:t>粕</w:t>
      </w:r>
      <w:proofErr w:type="gramEnd"/>
      <w:r>
        <w:rPr>
          <w:rFonts w:ascii="Times New Roman" w:eastAsia="楷体" w:hAnsi="Times New Roman" w:hint="eastAsia"/>
          <w:b w:val="0"/>
          <w:spacing w:val="-4"/>
          <w:sz w:val="24"/>
        </w:rPr>
        <w:t>及副产品；收购农产品；粮食、预包装食品进出口业务。</w:t>
      </w:r>
    </w:p>
    <w:p w14:paraId="3B46DD66" w14:textId="77777777" w:rsidR="00823A52" w:rsidRDefault="00000000">
      <w:pPr>
        <w:pStyle w:val="2"/>
        <w:ind w:firstLineChars="200" w:firstLine="464"/>
        <w:rPr>
          <w:rFonts w:ascii="Times New Roman" w:eastAsia="楷体" w:hAnsi="Times New Roman"/>
          <w:b w:val="0"/>
          <w:spacing w:val="-4"/>
          <w:sz w:val="24"/>
        </w:rPr>
      </w:pPr>
      <w:r>
        <w:rPr>
          <w:rFonts w:ascii="Times New Roman" w:eastAsia="楷体" w:hAnsi="Times New Roman" w:hint="eastAsia"/>
          <w:b w:val="0"/>
          <w:spacing w:val="-4"/>
          <w:sz w:val="24"/>
        </w:rPr>
        <w:t>江苏汇福蛋白科技有限公司目前拥有</w:t>
      </w:r>
      <w:r>
        <w:rPr>
          <w:rFonts w:ascii="Times New Roman" w:eastAsia="楷体" w:hAnsi="Times New Roman" w:hint="eastAsia"/>
          <w:b w:val="0"/>
          <w:spacing w:val="-4"/>
          <w:sz w:val="24"/>
        </w:rPr>
        <w:t>20</w:t>
      </w:r>
      <w:r>
        <w:rPr>
          <w:rFonts w:ascii="Times New Roman" w:eastAsia="楷体" w:hAnsi="Times New Roman" w:hint="eastAsia"/>
          <w:b w:val="0"/>
          <w:spacing w:val="-4"/>
          <w:sz w:val="24"/>
        </w:rPr>
        <w:t>万吨的原粮筒仓、</w:t>
      </w:r>
      <w:r>
        <w:rPr>
          <w:rFonts w:ascii="Times New Roman" w:eastAsia="楷体" w:hAnsi="Times New Roman" w:hint="eastAsia"/>
          <w:b w:val="0"/>
          <w:spacing w:val="-4"/>
          <w:sz w:val="24"/>
        </w:rPr>
        <w:t>11</w:t>
      </w:r>
      <w:r>
        <w:rPr>
          <w:rFonts w:ascii="Times New Roman" w:eastAsia="楷体" w:hAnsi="Times New Roman" w:hint="eastAsia"/>
          <w:b w:val="0"/>
          <w:spacing w:val="-4"/>
          <w:sz w:val="24"/>
        </w:rPr>
        <w:t>万吨储油灌区、</w:t>
      </w:r>
      <w:r>
        <w:rPr>
          <w:rFonts w:ascii="Times New Roman" w:eastAsia="楷体" w:hAnsi="Times New Roman" w:hint="eastAsia"/>
          <w:b w:val="0"/>
          <w:spacing w:val="-4"/>
          <w:sz w:val="24"/>
        </w:rPr>
        <w:t>6</w:t>
      </w:r>
      <w:r>
        <w:rPr>
          <w:rFonts w:ascii="Times New Roman" w:eastAsia="楷体" w:hAnsi="Times New Roman" w:hint="eastAsia"/>
          <w:b w:val="0"/>
          <w:spacing w:val="-4"/>
          <w:sz w:val="24"/>
        </w:rPr>
        <w:t>万吨的豆</w:t>
      </w:r>
      <w:proofErr w:type="gramStart"/>
      <w:r>
        <w:rPr>
          <w:rFonts w:ascii="Times New Roman" w:eastAsia="楷体" w:hAnsi="Times New Roman" w:hint="eastAsia"/>
          <w:b w:val="0"/>
          <w:spacing w:val="-4"/>
          <w:sz w:val="24"/>
        </w:rPr>
        <w:t>粕</w:t>
      </w:r>
      <w:proofErr w:type="gramEnd"/>
      <w:r>
        <w:rPr>
          <w:rFonts w:ascii="Times New Roman" w:eastAsia="楷体" w:hAnsi="Times New Roman" w:hint="eastAsia"/>
          <w:b w:val="0"/>
          <w:spacing w:val="-4"/>
          <w:sz w:val="24"/>
        </w:rPr>
        <w:t>仓库、</w:t>
      </w:r>
      <w:r>
        <w:rPr>
          <w:rFonts w:ascii="Times New Roman" w:eastAsia="楷体" w:hAnsi="Times New Roman" w:hint="eastAsia"/>
          <w:b w:val="0"/>
          <w:spacing w:val="-4"/>
          <w:sz w:val="24"/>
        </w:rPr>
        <w:t>4900</w:t>
      </w:r>
      <w:r>
        <w:rPr>
          <w:rFonts w:ascii="Times New Roman" w:eastAsia="楷体" w:hAnsi="Times New Roman" w:hint="eastAsia"/>
          <w:b w:val="0"/>
          <w:spacing w:val="-4"/>
          <w:sz w:val="24"/>
        </w:rPr>
        <w:t>平方米的办公用房，同时还拥有</w:t>
      </w:r>
      <w:r>
        <w:rPr>
          <w:rFonts w:ascii="Times New Roman" w:eastAsia="楷体" w:hAnsi="Times New Roman" w:hint="eastAsia"/>
          <w:b w:val="0"/>
          <w:spacing w:val="-4"/>
          <w:sz w:val="24"/>
        </w:rPr>
        <w:t>1</w:t>
      </w:r>
      <w:r>
        <w:rPr>
          <w:rFonts w:ascii="Times New Roman" w:eastAsia="楷体" w:hAnsi="Times New Roman" w:hint="eastAsia"/>
          <w:b w:val="0"/>
          <w:spacing w:val="-4"/>
          <w:sz w:val="24"/>
        </w:rPr>
        <w:t>个</w:t>
      </w:r>
      <w:r>
        <w:rPr>
          <w:rFonts w:ascii="Times New Roman" w:eastAsia="楷体" w:hAnsi="Times New Roman" w:hint="eastAsia"/>
          <w:b w:val="0"/>
          <w:spacing w:val="-4"/>
          <w:sz w:val="24"/>
        </w:rPr>
        <w:t>2000</w:t>
      </w:r>
      <w:r>
        <w:rPr>
          <w:rFonts w:ascii="Times New Roman" w:eastAsia="楷体" w:hAnsi="Times New Roman" w:hint="eastAsia"/>
          <w:b w:val="0"/>
          <w:spacing w:val="-4"/>
          <w:sz w:val="24"/>
        </w:rPr>
        <w:t>吨级驳船码头，年吞吐量达</w:t>
      </w:r>
      <w:r>
        <w:rPr>
          <w:rFonts w:ascii="Times New Roman" w:eastAsia="楷体" w:hAnsi="Times New Roman" w:hint="eastAsia"/>
          <w:b w:val="0"/>
          <w:spacing w:val="-4"/>
          <w:sz w:val="24"/>
        </w:rPr>
        <w:t>200</w:t>
      </w:r>
      <w:r>
        <w:rPr>
          <w:rFonts w:ascii="Times New Roman" w:eastAsia="楷体" w:hAnsi="Times New Roman" w:hint="eastAsia"/>
          <w:b w:val="0"/>
          <w:spacing w:val="-4"/>
          <w:sz w:val="24"/>
        </w:rPr>
        <w:t>万吨。现已形成一个集生产加工、贸易、物流中转为一体的粮食集散中心。带动当地油料产业、物流、电子商务、健康保健品的相关产业的发展，公司本着打造环保型示范、节能型示范、安全型示范、质量型示范型企业，提高当地经济的区域竞争力，在技术上按照设备一流、管理一流、技术一流的标准实现了设备智能化、生产智能化、管理智能化以及维护服务智能化的总目标，实现设备与产品之间，设备与人之间以及企业内部产品、指标、消耗、物资、安全与数据化管理之间的全方位实时的互联互通，最终提高公司生产效率，提升</w:t>
      </w:r>
      <w:proofErr w:type="gramStart"/>
      <w:r>
        <w:rPr>
          <w:rFonts w:ascii="Times New Roman" w:eastAsia="楷体" w:hAnsi="Times New Roman" w:hint="eastAsia"/>
          <w:b w:val="0"/>
          <w:spacing w:val="-4"/>
          <w:sz w:val="24"/>
        </w:rPr>
        <w:t>汇福产品</w:t>
      </w:r>
      <w:proofErr w:type="gramEnd"/>
      <w:r>
        <w:rPr>
          <w:rFonts w:ascii="Times New Roman" w:eastAsia="楷体" w:hAnsi="Times New Roman" w:hint="eastAsia"/>
          <w:b w:val="0"/>
          <w:spacing w:val="-4"/>
          <w:sz w:val="24"/>
        </w:rPr>
        <w:t>竞争力品牌价值。</w:t>
      </w:r>
    </w:p>
    <w:p w14:paraId="28A85D6F" w14:textId="77777777" w:rsidR="00823A52" w:rsidRDefault="00000000">
      <w:pPr>
        <w:pStyle w:val="2"/>
        <w:ind w:firstLineChars="200" w:firstLine="464"/>
        <w:rPr>
          <w:rFonts w:ascii="Times New Roman" w:eastAsia="楷体" w:hAnsi="Times New Roman"/>
          <w:b w:val="0"/>
          <w:spacing w:val="-4"/>
          <w:sz w:val="24"/>
        </w:rPr>
      </w:pPr>
      <w:r>
        <w:rPr>
          <w:rFonts w:ascii="Times New Roman" w:eastAsia="楷体" w:hAnsi="Times New Roman" w:hint="eastAsia"/>
          <w:b w:val="0"/>
          <w:spacing w:val="-4"/>
          <w:sz w:val="24"/>
        </w:rPr>
        <w:t>公司先后获得江苏省文明单位、十佳绿色发展示范单位、泰州市示范智能车间等多项荣誉，并通过了</w:t>
      </w:r>
      <w:r>
        <w:rPr>
          <w:rFonts w:ascii="Times New Roman" w:eastAsia="楷体" w:hAnsi="Times New Roman" w:hint="eastAsia"/>
          <w:b w:val="0"/>
          <w:spacing w:val="-4"/>
          <w:sz w:val="24"/>
        </w:rPr>
        <w:t>ISO9000</w:t>
      </w:r>
      <w:r>
        <w:rPr>
          <w:rFonts w:ascii="Times New Roman" w:eastAsia="楷体" w:hAnsi="Times New Roman" w:hint="eastAsia"/>
          <w:b w:val="0"/>
          <w:spacing w:val="-4"/>
          <w:sz w:val="24"/>
        </w:rPr>
        <w:t>质量管理体系、</w:t>
      </w:r>
      <w:r>
        <w:rPr>
          <w:rFonts w:ascii="Times New Roman" w:eastAsia="楷体" w:hAnsi="Times New Roman" w:hint="eastAsia"/>
          <w:b w:val="0"/>
          <w:spacing w:val="-4"/>
          <w:sz w:val="24"/>
        </w:rPr>
        <w:t>ISO45 001</w:t>
      </w:r>
      <w:r>
        <w:rPr>
          <w:rFonts w:ascii="Times New Roman" w:eastAsia="楷体" w:hAnsi="Times New Roman" w:hint="eastAsia"/>
          <w:b w:val="0"/>
          <w:spacing w:val="-4"/>
          <w:sz w:val="24"/>
        </w:rPr>
        <w:t>职业健康安全管理体系、</w:t>
      </w:r>
      <w:r>
        <w:rPr>
          <w:rFonts w:ascii="Times New Roman" w:eastAsia="楷体" w:hAnsi="Times New Roman" w:hint="eastAsia"/>
          <w:b w:val="0"/>
          <w:spacing w:val="-4"/>
          <w:sz w:val="24"/>
        </w:rPr>
        <w:t>ISO24001</w:t>
      </w:r>
      <w:r>
        <w:rPr>
          <w:rFonts w:ascii="Times New Roman" w:eastAsia="楷体" w:hAnsi="Times New Roman" w:hint="eastAsia"/>
          <w:b w:val="0"/>
          <w:spacing w:val="-4"/>
          <w:sz w:val="24"/>
        </w:rPr>
        <w:t>环境管理体系、</w:t>
      </w:r>
      <w:r>
        <w:rPr>
          <w:rFonts w:ascii="Times New Roman" w:eastAsia="楷体" w:hAnsi="Times New Roman" w:hint="eastAsia"/>
          <w:b w:val="0"/>
          <w:spacing w:val="-4"/>
          <w:sz w:val="24"/>
        </w:rPr>
        <w:t>ISO50001</w:t>
      </w:r>
      <w:r>
        <w:rPr>
          <w:rFonts w:ascii="Times New Roman" w:eastAsia="楷体" w:hAnsi="Times New Roman" w:hint="eastAsia"/>
          <w:b w:val="0"/>
          <w:spacing w:val="-4"/>
          <w:sz w:val="24"/>
        </w:rPr>
        <w:t>能源管理体系及两化融合管理体系。</w:t>
      </w:r>
    </w:p>
    <w:p w14:paraId="5E153AD2" w14:textId="77777777" w:rsidR="00823A52" w:rsidRDefault="00000000">
      <w:pPr>
        <w:pStyle w:val="2"/>
        <w:rPr>
          <w:rFonts w:ascii="Times New Roman" w:eastAsia="楷体" w:hAnsi="Times New Roman"/>
        </w:rPr>
      </w:pPr>
      <w:r>
        <w:rPr>
          <w:rFonts w:ascii="Times New Roman" w:eastAsia="楷体" w:hAnsi="Times New Roman"/>
        </w:rPr>
        <w:t>二、经营状况：</w:t>
      </w:r>
      <w:bookmarkEnd w:id="4"/>
    </w:p>
    <w:p w14:paraId="6F7E7FC6" w14:textId="77777777" w:rsidR="00823A52" w:rsidRDefault="00000000">
      <w:pPr>
        <w:widowControl/>
        <w:shd w:val="clear" w:color="auto" w:fill="FFFFFF"/>
        <w:spacing w:line="360" w:lineRule="auto"/>
        <w:ind w:firstLine="420"/>
        <w:jc w:val="left"/>
        <w:rPr>
          <w:rFonts w:eastAsia="楷体"/>
          <w:spacing w:val="-4"/>
          <w:sz w:val="24"/>
        </w:rPr>
      </w:pPr>
      <w:r>
        <w:rPr>
          <w:rFonts w:eastAsia="楷体"/>
          <w:spacing w:val="-4"/>
          <w:sz w:val="24"/>
        </w:rPr>
        <w:t>202</w:t>
      </w:r>
      <w:r>
        <w:rPr>
          <w:rFonts w:eastAsia="楷体" w:hint="eastAsia"/>
          <w:spacing w:val="-4"/>
          <w:sz w:val="24"/>
        </w:rPr>
        <w:t>4</w:t>
      </w:r>
      <w:r>
        <w:rPr>
          <w:rFonts w:eastAsia="楷体"/>
          <w:spacing w:val="-4"/>
          <w:sz w:val="24"/>
        </w:rPr>
        <w:t>年，</w:t>
      </w:r>
      <w:r>
        <w:rPr>
          <w:rFonts w:eastAsia="楷体" w:hint="eastAsia"/>
          <w:spacing w:val="-4"/>
          <w:sz w:val="24"/>
        </w:rPr>
        <w:t>公司着力前沿科技，针对人类健康，努力打造公司品牌，振兴民族经济，做出不懈的努力。</w:t>
      </w:r>
      <w:r>
        <w:rPr>
          <w:rFonts w:eastAsia="楷体"/>
          <w:spacing w:val="-4"/>
          <w:sz w:val="24"/>
        </w:rPr>
        <w:t>为客户、为员工、为社会创造价值为使命，紧紧围绕全年工作计划部署开展工作，取得了可喜的成绩，在各业务模块获得了重要的突破和增长。</w:t>
      </w:r>
      <w:r>
        <w:rPr>
          <w:rFonts w:eastAsia="楷体"/>
          <w:spacing w:val="-4"/>
          <w:sz w:val="24"/>
        </w:rPr>
        <w:lastRenderedPageBreak/>
        <w:t>年末人员规模达到</w:t>
      </w:r>
      <w:r>
        <w:rPr>
          <w:rFonts w:eastAsia="楷体" w:hint="eastAsia"/>
          <w:spacing w:val="-4"/>
          <w:sz w:val="24"/>
        </w:rPr>
        <w:t>210</w:t>
      </w:r>
      <w:r>
        <w:rPr>
          <w:rFonts w:eastAsia="楷体"/>
          <w:spacing w:val="-4"/>
          <w:sz w:val="24"/>
        </w:rPr>
        <w:t>人，经营规模持续保持良好的增长，公司行业地位进一步提升和巩固，尤其是公司</w:t>
      </w:r>
      <w:r>
        <w:rPr>
          <w:rFonts w:eastAsia="楷体" w:hint="eastAsia"/>
          <w:spacing w:val="-4"/>
          <w:sz w:val="24"/>
        </w:rPr>
        <w:t>主要</w:t>
      </w:r>
      <w:r>
        <w:rPr>
          <w:rFonts w:eastAsia="楷体"/>
          <w:spacing w:val="-4"/>
          <w:sz w:val="24"/>
        </w:rPr>
        <w:t>产品获得了较高的市场认同。</w:t>
      </w:r>
      <w:r>
        <w:rPr>
          <w:rFonts w:eastAsia="楷体" w:hint="eastAsia"/>
          <w:kern w:val="0"/>
          <w:szCs w:val="21"/>
          <w:shd w:val="clear" w:color="auto" w:fill="FFFFFF"/>
        </w:rPr>
        <w:t>2024</w:t>
      </w:r>
      <w:r>
        <w:rPr>
          <w:rFonts w:eastAsia="楷体" w:hint="eastAsia"/>
          <w:kern w:val="0"/>
          <w:szCs w:val="21"/>
          <w:shd w:val="clear" w:color="auto" w:fill="FFFFFF"/>
        </w:rPr>
        <w:t>年</w:t>
      </w:r>
      <w:r>
        <w:rPr>
          <w:rFonts w:eastAsia="楷体" w:hint="eastAsia"/>
          <w:spacing w:val="-4"/>
          <w:sz w:val="24"/>
        </w:rPr>
        <w:t>企业年产值</w:t>
      </w:r>
      <w:r>
        <w:rPr>
          <w:rFonts w:eastAsia="楷体" w:hint="eastAsia"/>
          <w:spacing w:val="-4"/>
          <w:sz w:val="24"/>
        </w:rPr>
        <w:t>82.62</w:t>
      </w:r>
      <w:r>
        <w:rPr>
          <w:rFonts w:eastAsia="楷体" w:hint="eastAsia"/>
          <w:spacing w:val="-4"/>
          <w:sz w:val="24"/>
        </w:rPr>
        <w:t>亿元</w:t>
      </w:r>
      <w:r>
        <w:rPr>
          <w:rFonts w:eastAsia="楷体"/>
          <w:spacing w:val="-4"/>
          <w:sz w:val="24"/>
        </w:rPr>
        <w:t>。</w:t>
      </w:r>
    </w:p>
    <w:p w14:paraId="62F8C7F0" w14:textId="77777777" w:rsidR="00823A52" w:rsidRDefault="00000000">
      <w:pPr>
        <w:pStyle w:val="2"/>
        <w:rPr>
          <w:rFonts w:ascii="Times New Roman" w:eastAsia="楷体" w:hAnsi="Times New Roman"/>
        </w:rPr>
      </w:pPr>
      <w:bookmarkStart w:id="5" w:name="_Toc522175431"/>
      <w:r>
        <w:rPr>
          <w:rFonts w:ascii="Times New Roman" w:eastAsia="楷体" w:hAnsi="Times New Roman"/>
        </w:rPr>
        <w:t>三、组织架构图</w:t>
      </w:r>
      <w:r>
        <w:rPr>
          <w:rFonts w:ascii="Times New Roman" w:eastAsia="楷体" w:hAnsi="Times New Roman"/>
        </w:rPr>
        <w:t>:</w:t>
      </w:r>
      <w:bookmarkEnd w:id="5"/>
    </w:p>
    <w:p w14:paraId="7D1B2983" w14:textId="77777777" w:rsidR="00823A52" w:rsidRDefault="00000000">
      <w:pPr>
        <w:rPr>
          <w:rFonts w:eastAsia="楷体"/>
        </w:rPr>
      </w:pPr>
      <w:r>
        <w:rPr>
          <w:rFonts w:eastAsia="楷体" w:hint="eastAsia"/>
          <w:noProof/>
        </w:rPr>
        <w:drawing>
          <wp:inline distT="0" distB="0" distL="114300" distR="114300" wp14:anchorId="7C7346AC" wp14:editId="6D6B20FA">
            <wp:extent cx="5265420" cy="3079115"/>
            <wp:effectExtent l="0" t="0" r="11430" b="6985"/>
            <wp:docPr id="1" name="图片 1" descr="9f28bcf1c5d6ad3aa68bb33d0e2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f28bcf1c5d6ad3aa68bb33d0e27645"/>
                    <pic:cNvPicPr>
                      <a:picLocks noChangeAspect="1"/>
                    </pic:cNvPicPr>
                  </pic:nvPicPr>
                  <pic:blipFill>
                    <a:blip r:embed="rId8"/>
                    <a:stretch>
                      <a:fillRect/>
                    </a:stretch>
                  </pic:blipFill>
                  <pic:spPr>
                    <a:xfrm>
                      <a:off x="0" y="0"/>
                      <a:ext cx="5265420" cy="3079115"/>
                    </a:xfrm>
                    <a:prstGeom prst="rect">
                      <a:avLst/>
                    </a:prstGeom>
                  </pic:spPr>
                </pic:pic>
              </a:graphicData>
            </a:graphic>
          </wp:inline>
        </w:drawing>
      </w:r>
    </w:p>
    <w:p w14:paraId="161472F0" w14:textId="77777777" w:rsidR="00823A52" w:rsidRDefault="00000000">
      <w:pPr>
        <w:pStyle w:val="2"/>
        <w:rPr>
          <w:rFonts w:ascii="Times New Roman" w:eastAsia="楷体" w:hAnsi="Times New Roman"/>
        </w:rPr>
      </w:pPr>
      <w:bookmarkStart w:id="6" w:name="_Toc522175432"/>
      <w:r>
        <w:rPr>
          <w:rFonts w:ascii="Times New Roman" w:eastAsia="楷体" w:hAnsi="Times New Roman"/>
        </w:rPr>
        <w:t>四、技术创新</w:t>
      </w:r>
      <w:bookmarkEnd w:id="6"/>
    </w:p>
    <w:p w14:paraId="298A2DD7" w14:textId="77777777" w:rsidR="00823A52" w:rsidRDefault="00000000">
      <w:pPr>
        <w:spacing w:line="480" w:lineRule="exact"/>
        <w:ind w:firstLineChars="200" w:firstLine="480"/>
        <w:outlineLvl w:val="1"/>
        <w:rPr>
          <w:rFonts w:eastAsia="楷体"/>
          <w:sz w:val="24"/>
          <w:szCs w:val="24"/>
        </w:rPr>
      </w:pPr>
      <w:bookmarkStart w:id="7" w:name="_Toc522175433"/>
      <w:r>
        <w:rPr>
          <w:rFonts w:eastAsia="楷体"/>
          <w:sz w:val="24"/>
          <w:szCs w:val="24"/>
        </w:rPr>
        <w:t>1</w:t>
      </w:r>
      <w:r>
        <w:rPr>
          <w:rFonts w:eastAsia="楷体"/>
          <w:sz w:val="24"/>
          <w:szCs w:val="24"/>
        </w:rPr>
        <w:t>、技术管理工作：</w:t>
      </w:r>
      <w:bookmarkEnd w:id="7"/>
    </w:p>
    <w:p w14:paraId="350D63FA" w14:textId="77777777" w:rsidR="00823A52" w:rsidRDefault="00000000">
      <w:pPr>
        <w:spacing w:line="480" w:lineRule="exact"/>
        <w:ind w:firstLineChars="200" w:firstLine="480"/>
        <w:rPr>
          <w:rFonts w:eastAsia="楷体"/>
          <w:sz w:val="24"/>
          <w:szCs w:val="24"/>
        </w:rPr>
      </w:pPr>
      <w:proofErr w:type="gramStart"/>
      <w:r>
        <w:rPr>
          <w:rFonts w:eastAsia="楷体" w:hint="eastAsia"/>
          <w:sz w:val="24"/>
          <w:szCs w:val="24"/>
        </w:rPr>
        <w:t>三河汇福粮油</w:t>
      </w:r>
      <w:proofErr w:type="gramEnd"/>
      <w:r>
        <w:rPr>
          <w:rFonts w:eastAsia="楷体" w:hint="eastAsia"/>
          <w:sz w:val="24"/>
          <w:szCs w:val="24"/>
        </w:rPr>
        <w:t>集团有限公司科技资源积累历史悠久，拥有丰富的大豆以及相关产品的研究开发和生产经验。</w:t>
      </w:r>
    </w:p>
    <w:p w14:paraId="5DC1439D" w14:textId="77777777" w:rsidR="00823A52" w:rsidRDefault="00000000">
      <w:pPr>
        <w:spacing w:line="480" w:lineRule="exact"/>
        <w:ind w:firstLineChars="200" w:firstLine="480"/>
        <w:rPr>
          <w:rFonts w:eastAsia="楷体"/>
          <w:sz w:val="24"/>
          <w:szCs w:val="24"/>
        </w:rPr>
      </w:pPr>
      <w:r>
        <w:rPr>
          <w:rFonts w:eastAsia="楷体" w:hint="eastAsia"/>
          <w:sz w:val="24"/>
          <w:szCs w:val="24"/>
        </w:rPr>
        <w:t>1984</w:t>
      </w:r>
      <w:r>
        <w:rPr>
          <w:rFonts w:eastAsia="楷体" w:hint="eastAsia"/>
          <w:sz w:val="24"/>
          <w:szCs w:val="24"/>
        </w:rPr>
        <w:t>年，在无锡轻工学院刘复光教授指导下，我国第一条连续压榨浸出生产线在</w:t>
      </w:r>
      <w:proofErr w:type="gramStart"/>
      <w:r>
        <w:rPr>
          <w:rFonts w:eastAsia="楷体" w:hint="eastAsia"/>
          <w:sz w:val="24"/>
          <w:szCs w:val="24"/>
        </w:rPr>
        <w:t>三河汇福生物</w:t>
      </w:r>
      <w:proofErr w:type="gramEnd"/>
      <w:r>
        <w:rPr>
          <w:rFonts w:eastAsia="楷体" w:hint="eastAsia"/>
          <w:sz w:val="24"/>
          <w:szCs w:val="24"/>
        </w:rPr>
        <w:t>科技有限公司现在厂区内建成；</w:t>
      </w:r>
      <w:r>
        <w:rPr>
          <w:rFonts w:eastAsia="楷体" w:hint="eastAsia"/>
          <w:sz w:val="24"/>
          <w:szCs w:val="24"/>
        </w:rPr>
        <w:t>1990</w:t>
      </w:r>
      <w:r>
        <w:rPr>
          <w:rFonts w:eastAsia="楷体" w:hint="eastAsia"/>
          <w:sz w:val="24"/>
          <w:szCs w:val="24"/>
        </w:rPr>
        <w:t>年我国第一套负压浸出余热利用生产设备取得成功；</w:t>
      </w:r>
      <w:r>
        <w:rPr>
          <w:rFonts w:eastAsia="楷体" w:hint="eastAsia"/>
          <w:sz w:val="24"/>
          <w:szCs w:val="24"/>
        </w:rPr>
        <w:t>2000</w:t>
      </w:r>
      <w:r>
        <w:rPr>
          <w:rFonts w:eastAsia="楷体" w:hint="eastAsia"/>
          <w:sz w:val="24"/>
          <w:szCs w:val="24"/>
        </w:rPr>
        <w:t>年在三河燕郊中国自主设计安装的最大的</w:t>
      </w:r>
      <w:r>
        <w:rPr>
          <w:rFonts w:eastAsia="楷体" w:hint="eastAsia"/>
          <w:sz w:val="24"/>
          <w:szCs w:val="24"/>
        </w:rPr>
        <w:t>2000</w:t>
      </w:r>
      <w:r>
        <w:rPr>
          <w:rFonts w:eastAsia="楷体" w:hint="eastAsia"/>
          <w:sz w:val="24"/>
          <w:szCs w:val="24"/>
        </w:rPr>
        <w:t>吨</w:t>
      </w:r>
      <w:r>
        <w:rPr>
          <w:rFonts w:eastAsia="楷体" w:hint="eastAsia"/>
          <w:sz w:val="24"/>
          <w:szCs w:val="24"/>
        </w:rPr>
        <w:t>/</w:t>
      </w:r>
      <w:r>
        <w:rPr>
          <w:rFonts w:eastAsia="楷体" w:hint="eastAsia"/>
          <w:sz w:val="24"/>
          <w:szCs w:val="24"/>
        </w:rPr>
        <w:t>日浸出生产线建设成功；</w:t>
      </w:r>
      <w:r>
        <w:rPr>
          <w:rFonts w:eastAsia="楷体" w:hint="eastAsia"/>
          <w:sz w:val="24"/>
          <w:szCs w:val="24"/>
        </w:rPr>
        <w:t>2004</w:t>
      </w:r>
      <w:r>
        <w:rPr>
          <w:rFonts w:eastAsia="楷体" w:hint="eastAsia"/>
          <w:sz w:val="24"/>
          <w:szCs w:val="24"/>
        </w:rPr>
        <w:t>年我国引进国外的单线</w:t>
      </w:r>
      <w:r>
        <w:rPr>
          <w:rFonts w:eastAsia="楷体" w:hint="eastAsia"/>
          <w:sz w:val="24"/>
          <w:szCs w:val="24"/>
        </w:rPr>
        <w:t>5000</w:t>
      </w:r>
      <w:r>
        <w:rPr>
          <w:rFonts w:eastAsia="楷体" w:hint="eastAsia"/>
          <w:sz w:val="24"/>
          <w:szCs w:val="24"/>
        </w:rPr>
        <w:t>吨</w:t>
      </w:r>
      <w:r>
        <w:rPr>
          <w:rFonts w:eastAsia="楷体" w:hint="eastAsia"/>
          <w:sz w:val="24"/>
          <w:szCs w:val="24"/>
        </w:rPr>
        <w:t>/</w:t>
      </w:r>
      <w:r>
        <w:rPr>
          <w:rFonts w:eastAsia="楷体" w:hint="eastAsia"/>
          <w:sz w:val="24"/>
          <w:szCs w:val="24"/>
        </w:rPr>
        <w:t>日浸出生产线在三河燕郊建成；公司先后实施了大豆深加工产品的研究开发，</w:t>
      </w:r>
      <w:r>
        <w:rPr>
          <w:rFonts w:eastAsia="楷体" w:hint="eastAsia"/>
          <w:sz w:val="24"/>
          <w:szCs w:val="24"/>
        </w:rPr>
        <w:t>2002</w:t>
      </w:r>
      <w:r>
        <w:rPr>
          <w:rFonts w:eastAsia="楷体" w:hint="eastAsia"/>
          <w:sz w:val="24"/>
          <w:szCs w:val="24"/>
        </w:rPr>
        <w:t>年成功开发了大豆及胚芽中的乳清蛋白、异黄酮等新产品，并获得发明专利；</w:t>
      </w:r>
      <w:r>
        <w:rPr>
          <w:rFonts w:eastAsia="楷体" w:hint="eastAsia"/>
          <w:sz w:val="24"/>
          <w:szCs w:val="24"/>
        </w:rPr>
        <w:t>2003</w:t>
      </w:r>
      <w:r>
        <w:rPr>
          <w:rFonts w:eastAsia="楷体" w:hint="eastAsia"/>
          <w:sz w:val="24"/>
          <w:szCs w:val="24"/>
        </w:rPr>
        <w:t>年底，引进国外先进的植物油生产设备，建成精炼植物油生产线，日加工植物毛</w:t>
      </w:r>
      <w:r>
        <w:rPr>
          <w:rFonts w:eastAsia="楷体" w:hint="eastAsia"/>
          <w:sz w:val="24"/>
          <w:szCs w:val="24"/>
        </w:rPr>
        <w:lastRenderedPageBreak/>
        <w:t>油</w:t>
      </w:r>
      <w:r>
        <w:rPr>
          <w:rFonts w:eastAsia="楷体" w:hint="eastAsia"/>
          <w:sz w:val="24"/>
          <w:szCs w:val="24"/>
        </w:rPr>
        <w:t>1300</w:t>
      </w:r>
      <w:r>
        <w:rPr>
          <w:rFonts w:eastAsia="楷体" w:hint="eastAsia"/>
          <w:sz w:val="24"/>
          <w:szCs w:val="24"/>
        </w:rPr>
        <w:t>吨，单线生产能力居世界第一位；长期以来进行磷脂产品的研发工作，已获得磷脂专利</w:t>
      </w:r>
      <w:r>
        <w:rPr>
          <w:rFonts w:eastAsia="楷体" w:hint="eastAsia"/>
          <w:sz w:val="24"/>
          <w:szCs w:val="24"/>
        </w:rPr>
        <w:t>3</w:t>
      </w:r>
      <w:r>
        <w:rPr>
          <w:rFonts w:eastAsia="楷体" w:hint="eastAsia"/>
          <w:sz w:val="24"/>
          <w:szCs w:val="24"/>
        </w:rPr>
        <w:t>项；</w:t>
      </w:r>
      <w:r>
        <w:rPr>
          <w:rFonts w:eastAsia="楷体" w:hint="eastAsia"/>
          <w:sz w:val="24"/>
          <w:szCs w:val="24"/>
        </w:rPr>
        <w:t>2008</w:t>
      </w:r>
      <w:r>
        <w:rPr>
          <w:rFonts w:eastAsia="楷体" w:hint="eastAsia"/>
          <w:sz w:val="24"/>
          <w:szCs w:val="24"/>
        </w:rPr>
        <w:t>年依靠自主研发专利技术，建成国内先进的</w:t>
      </w:r>
      <w:r>
        <w:rPr>
          <w:rFonts w:eastAsia="楷体" w:hint="eastAsia"/>
          <w:sz w:val="24"/>
          <w:szCs w:val="24"/>
        </w:rPr>
        <w:t>6000</w:t>
      </w:r>
      <w:r>
        <w:rPr>
          <w:rFonts w:eastAsia="楷体" w:hint="eastAsia"/>
          <w:sz w:val="24"/>
          <w:szCs w:val="24"/>
        </w:rPr>
        <w:t>吨</w:t>
      </w:r>
      <w:r>
        <w:rPr>
          <w:rFonts w:eastAsia="楷体" w:hint="eastAsia"/>
          <w:sz w:val="24"/>
          <w:szCs w:val="24"/>
        </w:rPr>
        <w:t>/</w:t>
      </w:r>
      <w:r>
        <w:rPr>
          <w:rFonts w:eastAsia="楷体" w:hint="eastAsia"/>
          <w:sz w:val="24"/>
          <w:szCs w:val="24"/>
        </w:rPr>
        <w:t>年透明浓缩磷脂生产线，产能全国第一；</w:t>
      </w:r>
      <w:r>
        <w:rPr>
          <w:rFonts w:eastAsia="楷体" w:hint="eastAsia"/>
          <w:sz w:val="24"/>
          <w:szCs w:val="24"/>
        </w:rPr>
        <w:t>2010</w:t>
      </w:r>
      <w:r>
        <w:rPr>
          <w:rFonts w:eastAsia="楷体" w:hint="eastAsia"/>
          <w:sz w:val="24"/>
          <w:szCs w:val="24"/>
        </w:rPr>
        <w:t>至</w:t>
      </w:r>
      <w:r>
        <w:rPr>
          <w:rFonts w:eastAsia="楷体" w:hint="eastAsia"/>
          <w:sz w:val="24"/>
          <w:szCs w:val="24"/>
        </w:rPr>
        <w:t>2012</w:t>
      </w:r>
      <w:r>
        <w:rPr>
          <w:rFonts w:eastAsia="楷体" w:hint="eastAsia"/>
          <w:sz w:val="24"/>
          <w:szCs w:val="24"/>
        </w:rPr>
        <w:t>年期间，承担并完成科技部农业科技成果转化资金项目《</w:t>
      </w:r>
      <w:r>
        <w:rPr>
          <w:rFonts w:eastAsia="楷体" w:hint="eastAsia"/>
          <w:sz w:val="24"/>
          <w:szCs w:val="24"/>
        </w:rPr>
        <w:t>30000</w:t>
      </w:r>
      <w:r>
        <w:rPr>
          <w:rFonts w:eastAsia="楷体" w:hint="eastAsia"/>
          <w:sz w:val="24"/>
          <w:szCs w:val="24"/>
        </w:rPr>
        <w:t>吨</w:t>
      </w:r>
      <w:r>
        <w:rPr>
          <w:rFonts w:eastAsia="楷体" w:hint="eastAsia"/>
          <w:sz w:val="24"/>
          <w:szCs w:val="24"/>
        </w:rPr>
        <w:t>/</w:t>
      </w:r>
      <w:r>
        <w:rPr>
          <w:rFonts w:eastAsia="楷体" w:hint="eastAsia"/>
          <w:sz w:val="24"/>
          <w:szCs w:val="24"/>
        </w:rPr>
        <w:t>年水化磷脂综合利用》；</w:t>
      </w:r>
      <w:r>
        <w:rPr>
          <w:rFonts w:eastAsia="楷体" w:hint="eastAsia"/>
          <w:sz w:val="24"/>
          <w:szCs w:val="24"/>
        </w:rPr>
        <w:t>2010</w:t>
      </w:r>
      <w:r>
        <w:rPr>
          <w:rFonts w:eastAsia="楷体" w:hint="eastAsia"/>
          <w:sz w:val="24"/>
          <w:szCs w:val="24"/>
        </w:rPr>
        <w:t>至</w:t>
      </w:r>
      <w:r>
        <w:rPr>
          <w:rFonts w:eastAsia="楷体" w:hint="eastAsia"/>
          <w:sz w:val="24"/>
          <w:szCs w:val="24"/>
        </w:rPr>
        <w:t>2011</w:t>
      </w:r>
      <w:r>
        <w:rPr>
          <w:rFonts w:eastAsia="楷体" w:hint="eastAsia"/>
          <w:sz w:val="24"/>
          <w:szCs w:val="24"/>
        </w:rPr>
        <w:t>年期间，承担并完成科技部</w:t>
      </w:r>
      <w:proofErr w:type="gramStart"/>
      <w:r>
        <w:rPr>
          <w:rFonts w:eastAsia="楷体" w:hint="eastAsia"/>
          <w:sz w:val="24"/>
          <w:szCs w:val="24"/>
        </w:rPr>
        <w:t>十二五</w:t>
      </w:r>
      <w:proofErr w:type="gramEnd"/>
      <w:r>
        <w:rPr>
          <w:rFonts w:eastAsia="楷体" w:hint="eastAsia"/>
          <w:sz w:val="24"/>
          <w:szCs w:val="24"/>
        </w:rPr>
        <w:t>农村领域国家科技支撑计划项目《大豆磷脂生产关键技术及产业化示范》；</w:t>
      </w:r>
      <w:r>
        <w:rPr>
          <w:rFonts w:eastAsia="楷体" w:hint="eastAsia"/>
          <w:sz w:val="24"/>
          <w:szCs w:val="24"/>
        </w:rPr>
        <w:t>2010</w:t>
      </w:r>
      <w:r>
        <w:rPr>
          <w:rFonts w:eastAsia="楷体" w:hint="eastAsia"/>
          <w:sz w:val="24"/>
          <w:szCs w:val="24"/>
        </w:rPr>
        <w:t>至</w:t>
      </w:r>
      <w:r>
        <w:rPr>
          <w:rFonts w:eastAsia="楷体" w:hint="eastAsia"/>
          <w:sz w:val="24"/>
          <w:szCs w:val="24"/>
        </w:rPr>
        <w:t>2013</w:t>
      </w:r>
      <w:r>
        <w:rPr>
          <w:rFonts w:eastAsia="楷体" w:hint="eastAsia"/>
          <w:sz w:val="24"/>
          <w:szCs w:val="24"/>
        </w:rPr>
        <w:t>年期间，分别与江南大学、东北农业大学等合作完成了科技部</w:t>
      </w:r>
      <w:r>
        <w:rPr>
          <w:rFonts w:eastAsia="楷体" w:hint="eastAsia"/>
          <w:sz w:val="24"/>
          <w:szCs w:val="24"/>
        </w:rPr>
        <w:t>863</w:t>
      </w:r>
      <w:r>
        <w:rPr>
          <w:rFonts w:eastAsia="楷体" w:hint="eastAsia"/>
          <w:sz w:val="24"/>
          <w:szCs w:val="24"/>
        </w:rPr>
        <w:t>计划《食用油生物制造技术研究与开发》、《油脂非均相反应和多相分离精制技术》、农业科技成果转化资金项目《用固定化磷脂酶精炼大豆毛油中试示范》、国家</w:t>
      </w:r>
      <w:proofErr w:type="gramStart"/>
      <w:r>
        <w:rPr>
          <w:rFonts w:eastAsia="楷体" w:hint="eastAsia"/>
          <w:sz w:val="24"/>
          <w:szCs w:val="24"/>
        </w:rPr>
        <w:t>十二五</w:t>
      </w:r>
      <w:proofErr w:type="gramEnd"/>
      <w:r>
        <w:rPr>
          <w:rFonts w:eastAsia="楷体" w:hint="eastAsia"/>
          <w:sz w:val="24"/>
          <w:szCs w:val="24"/>
        </w:rPr>
        <w:t>科技支撑计划《食用植物油加工关键技术研究与示范》等。</w:t>
      </w:r>
    </w:p>
    <w:p w14:paraId="5A4BB70C" w14:textId="77777777" w:rsidR="00823A52" w:rsidRDefault="00000000">
      <w:pPr>
        <w:pStyle w:val="a8"/>
        <w:numPr>
          <w:ilvl w:val="0"/>
          <w:numId w:val="1"/>
        </w:numPr>
        <w:ind w:left="771" w:hangingChars="240" w:hanging="771"/>
        <w:outlineLvl w:val="1"/>
        <w:rPr>
          <w:rStyle w:val="30"/>
          <w:rFonts w:eastAsia="楷体"/>
          <w:b w:val="0"/>
          <w:sz w:val="24"/>
        </w:rPr>
      </w:pPr>
      <w:bookmarkStart w:id="8" w:name="_Toc522175434"/>
      <w:r>
        <w:rPr>
          <w:rStyle w:val="30"/>
          <w:rFonts w:eastAsia="楷体"/>
        </w:rPr>
        <w:t>研发团队建立</w:t>
      </w:r>
      <w:bookmarkEnd w:id="8"/>
    </w:p>
    <w:p w14:paraId="25BA3F79" w14:textId="77777777" w:rsidR="00823A52" w:rsidRDefault="00000000">
      <w:pPr>
        <w:spacing w:line="480" w:lineRule="exact"/>
        <w:ind w:firstLineChars="200" w:firstLine="480"/>
        <w:rPr>
          <w:rFonts w:eastAsia="楷体"/>
          <w:sz w:val="24"/>
          <w:szCs w:val="24"/>
        </w:rPr>
      </w:pPr>
      <w:r>
        <w:rPr>
          <w:rFonts w:eastAsia="楷体"/>
          <w:sz w:val="24"/>
          <w:szCs w:val="24"/>
        </w:rPr>
        <w:t>公司十分注重技术人员队伍建设，通过引进、招聘、培训等多种途径，每年增加大批的人才。同时，还积极引进社会成熟人才，满足科研开发急需，培养和造就一支与公司发展相适应的高素质、富有创新活力的人才队伍。</w:t>
      </w:r>
      <w:proofErr w:type="gramStart"/>
      <w:r>
        <w:rPr>
          <w:rFonts w:eastAsia="楷体" w:hint="eastAsia"/>
          <w:sz w:val="24"/>
          <w:szCs w:val="24"/>
        </w:rPr>
        <w:t>三河汇福粮油</w:t>
      </w:r>
      <w:proofErr w:type="gramEnd"/>
      <w:r>
        <w:rPr>
          <w:rFonts w:eastAsia="楷体" w:hint="eastAsia"/>
          <w:sz w:val="24"/>
          <w:szCs w:val="24"/>
        </w:rPr>
        <w:t>集团有限公司研发中心现有固定研发人员</w:t>
      </w:r>
      <w:r>
        <w:rPr>
          <w:rFonts w:eastAsia="楷体" w:hint="eastAsia"/>
          <w:sz w:val="24"/>
          <w:szCs w:val="24"/>
        </w:rPr>
        <w:t>38</w:t>
      </w:r>
      <w:r>
        <w:rPr>
          <w:rFonts w:eastAsia="楷体" w:hint="eastAsia"/>
          <w:sz w:val="24"/>
          <w:szCs w:val="24"/>
        </w:rPr>
        <w:t>人。其中</w:t>
      </w:r>
      <w:r>
        <w:rPr>
          <w:rFonts w:eastAsia="楷体" w:hint="eastAsia"/>
          <w:sz w:val="24"/>
          <w:szCs w:val="24"/>
        </w:rPr>
        <w:t>10</w:t>
      </w:r>
      <w:r>
        <w:rPr>
          <w:rFonts w:eastAsia="楷体" w:hint="eastAsia"/>
          <w:sz w:val="24"/>
          <w:szCs w:val="24"/>
        </w:rPr>
        <w:t>人具有高级职称，</w:t>
      </w:r>
      <w:r>
        <w:rPr>
          <w:rFonts w:eastAsia="楷体" w:hint="eastAsia"/>
          <w:sz w:val="24"/>
          <w:szCs w:val="24"/>
        </w:rPr>
        <w:t>2</w:t>
      </w:r>
      <w:r>
        <w:rPr>
          <w:rFonts w:eastAsia="楷体" w:hint="eastAsia"/>
          <w:sz w:val="24"/>
          <w:szCs w:val="24"/>
        </w:rPr>
        <w:t>人具有中级职称；具有博士学位的有</w:t>
      </w:r>
      <w:r>
        <w:rPr>
          <w:rFonts w:eastAsia="楷体" w:hint="eastAsia"/>
          <w:sz w:val="24"/>
          <w:szCs w:val="24"/>
        </w:rPr>
        <w:t>4</w:t>
      </w:r>
      <w:r>
        <w:rPr>
          <w:rFonts w:eastAsia="楷体" w:hint="eastAsia"/>
          <w:sz w:val="24"/>
          <w:szCs w:val="24"/>
        </w:rPr>
        <w:t>人，硕士学位</w:t>
      </w:r>
      <w:r>
        <w:rPr>
          <w:rFonts w:eastAsia="楷体" w:hint="eastAsia"/>
          <w:sz w:val="24"/>
          <w:szCs w:val="24"/>
        </w:rPr>
        <w:t>9</w:t>
      </w:r>
      <w:r>
        <w:rPr>
          <w:rFonts w:eastAsia="楷体" w:hint="eastAsia"/>
          <w:sz w:val="24"/>
          <w:szCs w:val="24"/>
        </w:rPr>
        <w:t>人，学士学位</w:t>
      </w:r>
      <w:r>
        <w:rPr>
          <w:rFonts w:eastAsia="楷体" w:hint="eastAsia"/>
          <w:sz w:val="24"/>
          <w:szCs w:val="24"/>
        </w:rPr>
        <w:t>8</w:t>
      </w:r>
      <w:r>
        <w:rPr>
          <w:rFonts w:eastAsia="楷体" w:hint="eastAsia"/>
          <w:sz w:val="24"/>
          <w:szCs w:val="24"/>
        </w:rPr>
        <w:t>人；同时，公司与江南大学、东北农业大学建立了长期合作关系。</w:t>
      </w:r>
      <w:r>
        <w:rPr>
          <w:rFonts w:eastAsia="楷体"/>
          <w:sz w:val="24"/>
          <w:szCs w:val="24"/>
        </w:rPr>
        <w:t xml:space="preserve"> </w:t>
      </w:r>
    </w:p>
    <w:p w14:paraId="7521BEF3" w14:textId="77777777" w:rsidR="00823A52" w:rsidRDefault="00823A52">
      <w:pPr>
        <w:rPr>
          <w:rFonts w:eastAsia="楷体"/>
          <w:sz w:val="24"/>
        </w:rPr>
      </w:pPr>
    </w:p>
    <w:p w14:paraId="2AA760BF" w14:textId="77777777" w:rsidR="00823A52" w:rsidRDefault="00000000">
      <w:pPr>
        <w:pStyle w:val="3"/>
        <w:numPr>
          <w:ilvl w:val="0"/>
          <w:numId w:val="1"/>
        </w:numPr>
        <w:ind w:left="771" w:hangingChars="240" w:hanging="771"/>
        <w:rPr>
          <w:rFonts w:eastAsia="楷体"/>
        </w:rPr>
      </w:pPr>
      <w:bookmarkStart w:id="9" w:name="_Toc522175435"/>
      <w:r>
        <w:rPr>
          <w:rFonts w:eastAsia="楷体"/>
        </w:rPr>
        <w:t>知识产权工作</w:t>
      </w:r>
      <w:bookmarkEnd w:id="9"/>
    </w:p>
    <w:p w14:paraId="72374B96" w14:textId="77777777" w:rsidR="00823A52" w:rsidRDefault="00000000">
      <w:pPr>
        <w:ind w:firstLineChars="200" w:firstLine="480"/>
        <w:rPr>
          <w:rFonts w:eastAsia="楷体"/>
        </w:rPr>
      </w:pPr>
      <w:r>
        <w:rPr>
          <w:rFonts w:eastAsia="楷体"/>
          <w:sz w:val="24"/>
          <w:szCs w:val="24"/>
        </w:rPr>
        <w:t>公司至今累计拥有有效授权专利</w:t>
      </w:r>
      <w:r>
        <w:rPr>
          <w:rFonts w:eastAsia="楷体" w:hint="eastAsia"/>
          <w:sz w:val="24"/>
          <w:szCs w:val="24"/>
        </w:rPr>
        <w:t>15</w:t>
      </w:r>
      <w:r>
        <w:rPr>
          <w:rFonts w:eastAsia="楷体"/>
          <w:sz w:val="24"/>
          <w:szCs w:val="24"/>
        </w:rPr>
        <w:t>件（发明专利</w:t>
      </w:r>
      <w:r>
        <w:rPr>
          <w:rFonts w:eastAsia="楷体" w:hint="eastAsia"/>
          <w:sz w:val="24"/>
          <w:szCs w:val="24"/>
        </w:rPr>
        <w:t>11</w:t>
      </w:r>
      <w:r>
        <w:rPr>
          <w:rFonts w:eastAsia="楷体"/>
          <w:sz w:val="24"/>
          <w:szCs w:val="24"/>
        </w:rPr>
        <w:t>件，实用新型</w:t>
      </w:r>
      <w:r>
        <w:rPr>
          <w:rFonts w:eastAsia="楷体"/>
          <w:sz w:val="24"/>
          <w:szCs w:val="24"/>
        </w:rPr>
        <w:t>4</w:t>
      </w:r>
      <w:r>
        <w:rPr>
          <w:rFonts w:eastAsia="楷体"/>
          <w:sz w:val="24"/>
          <w:szCs w:val="24"/>
        </w:rPr>
        <w:t>件）。</w:t>
      </w:r>
      <w:proofErr w:type="gramStart"/>
      <w:r>
        <w:rPr>
          <w:rFonts w:eastAsia="楷体" w:hint="eastAsia"/>
          <w:sz w:val="24"/>
          <w:szCs w:val="24"/>
        </w:rPr>
        <w:t>三河汇福粮油</w:t>
      </w:r>
      <w:proofErr w:type="gramEnd"/>
      <w:r>
        <w:rPr>
          <w:rFonts w:eastAsia="楷体" w:hint="eastAsia"/>
          <w:sz w:val="24"/>
          <w:szCs w:val="24"/>
        </w:rPr>
        <w:t>集团有限公司</w:t>
      </w:r>
      <w:r>
        <w:rPr>
          <w:rFonts w:eastAsia="楷体"/>
          <w:sz w:val="24"/>
          <w:szCs w:val="24"/>
        </w:rPr>
        <w:t>拥有</w:t>
      </w:r>
      <w:r>
        <w:rPr>
          <w:rFonts w:eastAsia="楷体" w:hint="eastAsia"/>
          <w:sz w:val="24"/>
          <w:szCs w:val="24"/>
        </w:rPr>
        <w:t>驰名</w:t>
      </w:r>
      <w:r>
        <w:rPr>
          <w:rFonts w:eastAsia="楷体"/>
          <w:sz w:val="24"/>
          <w:szCs w:val="24"/>
        </w:rPr>
        <w:t>商标一个。</w:t>
      </w:r>
    </w:p>
    <w:p w14:paraId="4E5BAF47" w14:textId="77777777" w:rsidR="00823A52" w:rsidRDefault="00000000">
      <w:pPr>
        <w:pStyle w:val="2"/>
        <w:rPr>
          <w:rFonts w:ascii="Times New Roman" w:eastAsia="楷体" w:hAnsi="Times New Roman"/>
        </w:rPr>
      </w:pPr>
      <w:bookmarkStart w:id="10" w:name="_Toc522175436"/>
      <w:r>
        <w:rPr>
          <w:rFonts w:ascii="Times New Roman" w:eastAsia="楷体" w:hAnsi="Times New Roman"/>
        </w:rPr>
        <w:t>五、信用建设</w:t>
      </w:r>
      <w:bookmarkEnd w:id="10"/>
    </w:p>
    <w:p w14:paraId="2E602550" w14:textId="77777777" w:rsidR="00823A52" w:rsidRDefault="00000000">
      <w:pPr>
        <w:autoSpaceDN w:val="0"/>
        <w:spacing w:before="150" w:after="150" w:line="378" w:lineRule="atLeast"/>
        <w:ind w:firstLine="420"/>
        <w:rPr>
          <w:rFonts w:eastAsia="楷体"/>
          <w:sz w:val="24"/>
        </w:rPr>
      </w:pPr>
      <w:r>
        <w:rPr>
          <w:rFonts w:eastAsia="楷体"/>
          <w:sz w:val="24"/>
        </w:rPr>
        <w:t>公司一直将信用管理工作作为公司日常管理的一项重要工作内容坚持开展，在市场经济日益发达的现代社会，我们深知</w:t>
      </w:r>
      <w:r>
        <w:rPr>
          <w:rFonts w:eastAsia="楷体"/>
          <w:sz w:val="24"/>
        </w:rPr>
        <w:t>“</w:t>
      </w:r>
      <w:r>
        <w:rPr>
          <w:rFonts w:eastAsia="楷体"/>
          <w:sz w:val="24"/>
        </w:rPr>
        <w:t>守合同重信用</w:t>
      </w:r>
      <w:r>
        <w:rPr>
          <w:rFonts w:eastAsia="楷体"/>
          <w:sz w:val="24"/>
        </w:rPr>
        <w:t>”</w:t>
      </w:r>
      <w:r>
        <w:rPr>
          <w:rFonts w:eastAsia="楷体"/>
          <w:sz w:val="24"/>
        </w:rPr>
        <w:t>是企业生存发展之本，企业的信用资质已成为企业在市场竞争中不可或缺的重要标签。公司始终坚持以诚为本，以信迎客，得到了广大客户的积极评价和充分信赖。公司企业资信等级</w:t>
      </w:r>
      <w:r>
        <w:rPr>
          <w:rFonts w:eastAsia="楷体"/>
          <w:sz w:val="24"/>
        </w:rPr>
        <w:t>AA</w:t>
      </w:r>
      <w:r>
        <w:rPr>
          <w:rFonts w:eastAsia="楷体"/>
          <w:sz w:val="24"/>
        </w:rPr>
        <w:t>。荣获</w:t>
      </w:r>
      <w:r>
        <w:rPr>
          <w:rFonts w:eastAsia="楷体"/>
          <w:sz w:val="24"/>
        </w:rPr>
        <w:t>“</w:t>
      </w:r>
      <w:r>
        <w:rPr>
          <w:rFonts w:eastAsia="楷体"/>
          <w:sz w:val="24"/>
        </w:rPr>
        <w:t>江苏省信用贯标企业</w:t>
      </w:r>
      <w:r>
        <w:rPr>
          <w:rFonts w:eastAsia="楷体"/>
          <w:sz w:val="24"/>
        </w:rPr>
        <w:t>”</w:t>
      </w:r>
      <w:r>
        <w:rPr>
          <w:rFonts w:eastAsia="楷体"/>
          <w:sz w:val="24"/>
        </w:rPr>
        <w:t>荣誉称号。</w:t>
      </w:r>
    </w:p>
    <w:p w14:paraId="398444D5" w14:textId="77777777" w:rsidR="00823A52" w:rsidRDefault="00000000">
      <w:pPr>
        <w:pStyle w:val="2"/>
        <w:rPr>
          <w:rFonts w:ascii="Times New Roman" w:eastAsia="楷体" w:hAnsi="Times New Roman"/>
        </w:rPr>
      </w:pPr>
      <w:bookmarkStart w:id="11" w:name="_Toc522175437"/>
      <w:r>
        <w:rPr>
          <w:rFonts w:ascii="Times New Roman" w:eastAsia="楷体" w:hAnsi="Times New Roman"/>
        </w:rPr>
        <w:lastRenderedPageBreak/>
        <w:t>六、环保节约</w:t>
      </w:r>
      <w:bookmarkEnd w:id="11"/>
    </w:p>
    <w:p w14:paraId="22515FE5" w14:textId="77777777" w:rsidR="00823A52" w:rsidRDefault="00000000">
      <w:pPr>
        <w:pStyle w:val="3"/>
        <w:rPr>
          <w:rFonts w:eastAsia="楷体"/>
        </w:rPr>
      </w:pPr>
      <w:bookmarkStart w:id="12" w:name="_Toc522175438"/>
      <w:r>
        <w:rPr>
          <w:rFonts w:eastAsia="楷体"/>
        </w:rPr>
        <w:t>1</w:t>
      </w:r>
      <w:r>
        <w:rPr>
          <w:rFonts w:eastAsia="楷体"/>
        </w:rPr>
        <w:t>、环境管理</w:t>
      </w:r>
      <w:bookmarkEnd w:id="12"/>
    </w:p>
    <w:p w14:paraId="26D896BB" w14:textId="77777777" w:rsidR="00823A52" w:rsidRDefault="00000000">
      <w:pPr>
        <w:autoSpaceDN w:val="0"/>
        <w:spacing w:before="150" w:after="150" w:line="378" w:lineRule="atLeast"/>
        <w:ind w:firstLineChars="200" w:firstLine="480"/>
        <w:rPr>
          <w:rFonts w:eastAsia="楷体"/>
          <w:sz w:val="24"/>
        </w:rPr>
      </w:pPr>
      <w:r>
        <w:rPr>
          <w:rFonts w:eastAsia="楷体"/>
          <w:sz w:val="24"/>
        </w:rPr>
        <w:t>公司于通过了</w:t>
      </w:r>
      <w:r>
        <w:rPr>
          <w:rFonts w:eastAsia="楷体"/>
          <w:sz w:val="24"/>
        </w:rPr>
        <w:t>ISO14000</w:t>
      </w:r>
      <w:r>
        <w:rPr>
          <w:rFonts w:eastAsia="楷体"/>
          <w:sz w:val="24"/>
        </w:rPr>
        <w:t>环境管理体系认证，和</w:t>
      </w:r>
      <w:r>
        <w:rPr>
          <w:rFonts w:eastAsia="楷体"/>
          <w:sz w:val="24"/>
        </w:rPr>
        <w:t>ISO28001</w:t>
      </w:r>
      <w:r>
        <w:rPr>
          <w:rFonts w:eastAsia="楷体"/>
          <w:sz w:val="24"/>
        </w:rPr>
        <w:t>职业健康安全管理体系增强了环境管理和员工职业健康安全的管理能力。建立专门的管理机构，健全完善环境管理制度并纳入正常管理，记录环保设施的运行数据并建立环保档案。建立和完善环境污染事故应急预案，并定期组织演练。加强生产技术和设备管理，充分利用好各种资源、能源，提高原料、能源利用率，不产生或少产生废弃物。凡是通过检修、更换设备能够解决污染问题的，要及时停产检修、更换设备。对重要环境因素和不可接收危险源点进行重点管控，遵纪守法，全年无安全、环保事故的发生。</w:t>
      </w:r>
    </w:p>
    <w:p w14:paraId="5E1B42CC" w14:textId="77777777" w:rsidR="00823A52" w:rsidRDefault="00000000">
      <w:pPr>
        <w:pStyle w:val="3"/>
        <w:ind w:firstLineChars="200" w:firstLine="480"/>
        <w:rPr>
          <w:rFonts w:eastAsia="楷体"/>
          <w:b w:val="0"/>
          <w:sz w:val="24"/>
        </w:rPr>
      </w:pPr>
      <w:bookmarkStart w:id="13" w:name="_Toc522175439"/>
      <w:r>
        <w:rPr>
          <w:rFonts w:eastAsia="楷体" w:hint="eastAsia"/>
          <w:b w:val="0"/>
          <w:sz w:val="24"/>
        </w:rPr>
        <w:t>公司开展了温室气体排放核算，对组织边界的温室气体排放进行了量化，并向社会公布。</w:t>
      </w:r>
    </w:p>
    <w:p w14:paraId="56DE7528" w14:textId="77777777" w:rsidR="00823A52" w:rsidRDefault="00000000">
      <w:pPr>
        <w:pStyle w:val="3"/>
        <w:rPr>
          <w:rFonts w:eastAsia="楷体"/>
        </w:rPr>
      </w:pPr>
      <w:r>
        <w:rPr>
          <w:rFonts w:eastAsia="楷体"/>
        </w:rPr>
        <w:t>2</w:t>
      </w:r>
      <w:r>
        <w:rPr>
          <w:rFonts w:eastAsia="楷体"/>
        </w:rPr>
        <w:t>、资源节约与综合利用</w:t>
      </w:r>
      <w:bookmarkEnd w:id="13"/>
    </w:p>
    <w:p w14:paraId="2F4172B3" w14:textId="7DFC936F" w:rsidR="00823A52" w:rsidRDefault="00000000">
      <w:pPr>
        <w:spacing w:line="360" w:lineRule="auto"/>
        <w:ind w:firstLineChars="200" w:firstLine="480"/>
        <w:rPr>
          <w:rFonts w:eastAsia="楷体"/>
          <w:sz w:val="24"/>
        </w:rPr>
      </w:pPr>
      <w:r w:rsidRPr="00377C2D">
        <w:rPr>
          <w:rFonts w:eastAsia="楷体"/>
          <w:sz w:val="24"/>
        </w:rPr>
        <w:t>公司坚决杜绝资源浪费现象。木材资源是非可再生资源，用一点少一点，公司将运输使用的托盘进行回收，大大减少了木材消耗。此外，</w:t>
      </w:r>
      <w:r>
        <w:rPr>
          <w:rFonts w:eastAsia="楷体" w:hint="eastAsia"/>
          <w:sz w:val="24"/>
        </w:rPr>
        <w:t>2023-2024</w:t>
      </w:r>
      <w:r>
        <w:rPr>
          <w:rFonts w:eastAsia="楷体"/>
          <w:sz w:val="24"/>
        </w:rPr>
        <w:t>年公司也不断改进生产和加工工艺，全员推进</w:t>
      </w:r>
      <w:r>
        <w:rPr>
          <w:rFonts w:eastAsia="楷体"/>
          <w:sz w:val="24"/>
        </w:rPr>
        <w:t>QC</w:t>
      </w:r>
      <w:r>
        <w:rPr>
          <w:rFonts w:eastAsia="楷体"/>
          <w:sz w:val="24"/>
        </w:rPr>
        <w:t>小组降本节耗活动，在提高生产效率的同时减少能源损耗，如公司实施蒸汽余热回收</w:t>
      </w:r>
      <w:r w:rsidR="00377C2D">
        <w:rPr>
          <w:rFonts w:eastAsia="楷体" w:hint="eastAsia"/>
          <w:sz w:val="24"/>
        </w:rPr>
        <w:t>等</w:t>
      </w:r>
      <w:r>
        <w:rPr>
          <w:rFonts w:eastAsia="楷体"/>
          <w:sz w:val="24"/>
        </w:rPr>
        <w:t>。</w:t>
      </w:r>
    </w:p>
    <w:p w14:paraId="7CD9F778" w14:textId="77777777" w:rsidR="00823A52" w:rsidRDefault="00000000">
      <w:pPr>
        <w:spacing w:line="360" w:lineRule="auto"/>
        <w:ind w:firstLineChars="200" w:firstLine="480"/>
        <w:rPr>
          <w:rFonts w:eastAsia="楷体"/>
          <w:sz w:val="24"/>
        </w:rPr>
      </w:pPr>
      <w:r>
        <w:rPr>
          <w:rFonts w:eastAsia="楷体"/>
          <w:sz w:val="24"/>
        </w:rPr>
        <w:t>公司对供应商进行考核，优先采购通过环境管理体系认证的供方提供的物料，优先采购绿色物料，履行环保社会责任。</w:t>
      </w:r>
    </w:p>
    <w:p w14:paraId="50F7AA82" w14:textId="77777777" w:rsidR="00823A52" w:rsidRDefault="00000000">
      <w:pPr>
        <w:pStyle w:val="3"/>
        <w:rPr>
          <w:rFonts w:eastAsia="楷体"/>
        </w:rPr>
      </w:pPr>
      <w:r>
        <w:rPr>
          <w:rFonts w:eastAsia="楷体"/>
        </w:rPr>
        <w:t>3</w:t>
      </w:r>
      <w:r>
        <w:rPr>
          <w:rFonts w:eastAsia="楷体"/>
        </w:rPr>
        <w:t>、节能减排</w:t>
      </w:r>
    </w:p>
    <w:p w14:paraId="48551711" w14:textId="77777777" w:rsidR="00823A52" w:rsidRDefault="00000000">
      <w:pPr>
        <w:spacing w:line="360" w:lineRule="auto"/>
        <w:ind w:firstLineChars="200" w:firstLine="480"/>
        <w:rPr>
          <w:rFonts w:eastAsia="楷体"/>
          <w:sz w:val="24"/>
        </w:rPr>
      </w:pPr>
      <w:r>
        <w:rPr>
          <w:rFonts w:eastAsia="楷体"/>
          <w:sz w:val="24"/>
        </w:rPr>
        <w:t>“</w:t>
      </w:r>
      <w:r>
        <w:rPr>
          <w:rFonts w:eastAsia="楷体"/>
          <w:sz w:val="24"/>
        </w:rPr>
        <w:t>节能降耗、提质高效</w:t>
      </w:r>
      <w:r>
        <w:rPr>
          <w:rFonts w:eastAsia="楷体"/>
          <w:sz w:val="24"/>
        </w:rPr>
        <w:t>”</w:t>
      </w:r>
      <w:r>
        <w:rPr>
          <w:rFonts w:eastAsia="楷体"/>
          <w:sz w:val="24"/>
        </w:rPr>
        <w:t>是公司节能生产的基本理念。公司在建设初期就对公司的能源利用工作从战略的高度进行布局</w:t>
      </w:r>
      <w:r>
        <w:rPr>
          <w:rFonts w:eastAsia="楷体"/>
          <w:sz w:val="24"/>
        </w:rPr>
        <w:t>,</w:t>
      </w:r>
      <w:r>
        <w:rPr>
          <w:rFonts w:eastAsia="楷体"/>
          <w:sz w:val="24"/>
        </w:rPr>
        <w:t>成立能源管理部门，全面系统的管理公司的能源事项。</w:t>
      </w:r>
    </w:p>
    <w:p w14:paraId="0362B8DA" w14:textId="77777777" w:rsidR="00823A52" w:rsidRDefault="00000000">
      <w:pPr>
        <w:spacing w:line="360" w:lineRule="auto"/>
        <w:ind w:firstLineChars="200" w:firstLine="480"/>
        <w:rPr>
          <w:rFonts w:eastAsia="楷体"/>
          <w:sz w:val="24"/>
        </w:rPr>
      </w:pPr>
      <w:r>
        <w:rPr>
          <w:rFonts w:eastAsia="楷体"/>
          <w:sz w:val="24"/>
        </w:rPr>
        <w:t>公司严格按照</w:t>
      </w:r>
      <w:r>
        <w:rPr>
          <w:rFonts w:eastAsia="楷体"/>
          <w:sz w:val="24"/>
        </w:rPr>
        <w:t xml:space="preserve"> GB 17167-2006</w:t>
      </w:r>
      <w:r>
        <w:rPr>
          <w:rFonts w:eastAsia="楷体"/>
          <w:sz w:val="24"/>
        </w:rPr>
        <w:t>《用能单位能源计量器具配备和管理通则》的要规定配备能源计量器具，</w:t>
      </w:r>
      <w:r>
        <w:rPr>
          <w:rFonts w:eastAsia="楷体"/>
          <w:sz w:val="24"/>
        </w:rPr>
        <w:t>2022</w:t>
      </w:r>
      <w:r>
        <w:rPr>
          <w:rFonts w:eastAsia="楷体"/>
          <w:sz w:val="24"/>
        </w:rPr>
        <w:t>年完成建立能源计量体系。</w:t>
      </w:r>
    </w:p>
    <w:p w14:paraId="7D5A3638" w14:textId="77777777" w:rsidR="00823A52" w:rsidRDefault="00000000">
      <w:pPr>
        <w:spacing w:line="360" w:lineRule="auto"/>
        <w:ind w:firstLineChars="200" w:firstLine="480"/>
        <w:rPr>
          <w:rFonts w:eastAsia="楷体"/>
          <w:sz w:val="24"/>
        </w:rPr>
      </w:pPr>
      <w:r>
        <w:rPr>
          <w:rFonts w:eastAsia="楷体"/>
          <w:sz w:val="24"/>
        </w:rPr>
        <w:t>公司高度重视节能减排工作，结合自身发展实际从流程优化、节能减排、淘</w:t>
      </w:r>
      <w:r>
        <w:rPr>
          <w:rFonts w:eastAsia="楷体"/>
          <w:sz w:val="24"/>
        </w:rPr>
        <w:lastRenderedPageBreak/>
        <w:t>汰落后产能、应用先进技术入手，将资源综合利用、节能降耗放在首位，按照</w:t>
      </w:r>
      <w:r>
        <w:rPr>
          <w:rFonts w:eastAsia="楷体"/>
          <w:sz w:val="24"/>
        </w:rPr>
        <w:t>“</w:t>
      </w:r>
      <w:r>
        <w:rPr>
          <w:rFonts w:eastAsia="楷体"/>
          <w:sz w:val="24"/>
        </w:rPr>
        <w:t>治理源头、监督过程、综合利用、末端治理</w:t>
      </w:r>
      <w:r>
        <w:rPr>
          <w:rFonts w:eastAsia="楷体"/>
          <w:sz w:val="24"/>
        </w:rPr>
        <w:t>”</w:t>
      </w:r>
      <w:r>
        <w:rPr>
          <w:rFonts w:eastAsia="楷体"/>
          <w:sz w:val="24"/>
        </w:rPr>
        <w:t>的思路，大力建设资源节约型、环境友好型、持续发展型的新工厂。</w:t>
      </w:r>
    </w:p>
    <w:p w14:paraId="08DEF6F0" w14:textId="77777777" w:rsidR="00823A52" w:rsidRDefault="00000000">
      <w:pPr>
        <w:pStyle w:val="2"/>
        <w:rPr>
          <w:rFonts w:ascii="Times New Roman" w:eastAsia="楷体" w:hAnsi="Times New Roman"/>
        </w:rPr>
      </w:pPr>
      <w:bookmarkStart w:id="14" w:name="_Toc522175440"/>
      <w:r>
        <w:rPr>
          <w:rFonts w:ascii="Times New Roman" w:eastAsia="楷体" w:hAnsi="Times New Roman"/>
        </w:rPr>
        <w:t>七、安全生产</w:t>
      </w:r>
      <w:bookmarkEnd w:id="14"/>
    </w:p>
    <w:p w14:paraId="6CB3FA93" w14:textId="77777777" w:rsidR="00823A52" w:rsidRDefault="00000000">
      <w:pPr>
        <w:pStyle w:val="3"/>
        <w:rPr>
          <w:rFonts w:eastAsia="楷体"/>
        </w:rPr>
      </w:pPr>
      <w:bookmarkStart w:id="15" w:name="_Toc522175441"/>
      <w:r>
        <w:rPr>
          <w:rFonts w:eastAsia="楷体"/>
        </w:rPr>
        <w:t>1</w:t>
      </w:r>
      <w:r>
        <w:rPr>
          <w:rFonts w:eastAsia="楷体"/>
        </w:rPr>
        <w:t>、安全生产管理</w:t>
      </w:r>
      <w:bookmarkEnd w:id="15"/>
    </w:p>
    <w:p w14:paraId="4FA0CBBE" w14:textId="77777777" w:rsidR="00823A52" w:rsidRDefault="00000000">
      <w:pPr>
        <w:spacing w:line="360" w:lineRule="auto"/>
        <w:ind w:firstLineChars="200" w:firstLine="480"/>
        <w:rPr>
          <w:rFonts w:eastAsia="楷体"/>
          <w:sz w:val="24"/>
        </w:rPr>
      </w:pPr>
      <w:r>
        <w:rPr>
          <w:rFonts w:eastAsia="楷体"/>
          <w:sz w:val="24"/>
        </w:rPr>
        <w:t>公司本着</w:t>
      </w:r>
      <w:r>
        <w:rPr>
          <w:rFonts w:eastAsia="楷体"/>
          <w:sz w:val="24"/>
        </w:rPr>
        <w:t>“</w:t>
      </w:r>
      <w:r>
        <w:rPr>
          <w:rFonts w:eastAsia="楷体"/>
          <w:sz w:val="24"/>
        </w:rPr>
        <w:t>安全第一，预防为主</w:t>
      </w:r>
      <w:r>
        <w:rPr>
          <w:rFonts w:eastAsia="楷体"/>
          <w:sz w:val="24"/>
        </w:rPr>
        <w:t>”</w:t>
      </w:r>
      <w:r>
        <w:rPr>
          <w:rFonts w:eastAsia="楷体"/>
          <w:sz w:val="24"/>
        </w:rPr>
        <w:t>的安全生产方针。逐步推行现代安全管理，重视员工在作业中的安全和健康，成立有公司安全生产领导小组、明确有安全归口管理部门、配备有专兼职安全管理人员，安全生产管理网络健全，制定有各级安全生产责任制、安全生产管理制度，职能部门职责明确。</w:t>
      </w:r>
    </w:p>
    <w:p w14:paraId="66B5190E" w14:textId="77777777" w:rsidR="00823A52" w:rsidRDefault="00000000">
      <w:pPr>
        <w:pStyle w:val="3"/>
        <w:rPr>
          <w:rFonts w:eastAsia="楷体"/>
        </w:rPr>
      </w:pPr>
      <w:bookmarkStart w:id="16" w:name="_Toc522175442"/>
      <w:r>
        <w:rPr>
          <w:rFonts w:eastAsia="楷体"/>
        </w:rPr>
        <w:t>2</w:t>
      </w:r>
      <w:r>
        <w:rPr>
          <w:rFonts w:eastAsia="楷体"/>
        </w:rPr>
        <w:t>、安全生产投入</w:t>
      </w:r>
      <w:bookmarkEnd w:id="16"/>
    </w:p>
    <w:p w14:paraId="4C8F108B" w14:textId="77777777" w:rsidR="00823A52" w:rsidRDefault="00000000">
      <w:pPr>
        <w:autoSpaceDN w:val="0"/>
        <w:spacing w:before="150" w:after="150" w:line="378" w:lineRule="atLeast"/>
        <w:ind w:firstLine="420"/>
        <w:rPr>
          <w:rFonts w:eastAsia="楷体"/>
          <w:sz w:val="24"/>
        </w:rPr>
      </w:pPr>
      <w:r>
        <w:rPr>
          <w:rFonts w:eastAsia="楷体"/>
          <w:sz w:val="24"/>
        </w:rPr>
        <w:t>公司根据国家法律法规要求制定并严格执行安全生产预算，制定应急预案并进行演练，组织实施安全改善项目。每年投入资金为员工提供所需要的安全资源，包括个人防护设备、劳动防护用品等，以预防职业伤害、疾病和事故，以及紧急情况处理。按着</w:t>
      </w:r>
      <w:r>
        <w:rPr>
          <w:rFonts w:eastAsia="楷体"/>
          <w:sz w:val="24"/>
        </w:rPr>
        <w:t>“</w:t>
      </w:r>
      <w:r>
        <w:rPr>
          <w:rFonts w:eastAsia="楷体"/>
          <w:sz w:val="24"/>
        </w:rPr>
        <w:t>加强管控、防范盗窃、人车分离</w:t>
      </w:r>
      <w:r>
        <w:rPr>
          <w:rFonts w:eastAsia="楷体"/>
          <w:sz w:val="24"/>
        </w:rPr>
        <w:t>”</w:t>
      </w:r>
      <w:r>
        <w:rPr>
          <w:rFonts w:eastAsia="楷体"/>
          <w:sz w:val="24"/>
        </w:rPr>
        <w:t>安全防范要求，实施</w:t>
      </w:r>
      <w:r>
        <w:rPr>
          <w:rFonts w:eastAsia="楷体"/>
          <w:sz w:val="24"/>
        </w:rPr>
        <w:t>“</w:t>
      </w:r>
      <w:r>
        <w:rPr>
          <w:rFonts w:eastAsia="楷体"/>
          <w:sz w:val="24"/>
        </w:rPr>
        <w:t>安全技防项目</w:t>
      </w:r>
      <w:r>
        <w:rPr>
          <w:rFonts w:eastAsia="楷体"/>
          <w:sz w:val="24"/>
        </w:rPr>
        <w:t>”</w:t>
      </w:r>
      <w:r>
        <w:rPr>
          <w:rFonts w:eastAsia="楷体"/>
          <w:sz w:val="24"/>
        </w:rPr>
        <w:t>，为保护企业财产安全、保护员工切身利益，维护企业正常经营管理秩序提供了技术保障，提升了企业安全管理水平。</w:t>
      </w:r>
    </w:p>
    <w:p w14:paraId="277A71E6" w14:textId="77777777" w:rsidR="00823A52" w:rsidRDefault="00000000">
      <w:pPr>
        <w:pStyle w:val="3"/>
        <w:rPr>
          <w:rFonts w:eastAsia="楷体"/>
        </w:rPr>
      </w:pPr>
      <w:bookmarkStart w:id="17" w:name="_Toc522175443"/>
      <w:r>
        <w:rPr>
          <w:rFonts w:eastAsia="楷体"/>
        </w:rPr>
        <w:t>3</w:t>
      </w:r>
      <w:r>
        <w:rPr>
          <w:rFonts w:eastAsia="楷体"/>
        </w:rPr>
        <w:t>、安全生产教育和培训</w:t>
      </w:r>
      <w:bookmarkEnd w:id="17"/>
    </w:p>
    <w:p w14:paraId="1F705062" w14:textId="77777777" w:rsidR="00823A52" w:rsidRDefault="00000000">
      <w:pPr>
        <w:autoSpaceDN w:val="0"/>
        <w:spacing w:before="150" w:after="150" w:line="378" w:lineRule="atLeast"/>
        <w:ind w:firstLineChars="200" w:firstLine="480"/>
        <w:rPr>
          <w:rFonts w:eastAsia="楷体"/>
          <w:sz w:val="24"/>
        </w:rPr>
      </w:pPr>
      <w:r>
        <w:rPr>
          <w:rFonts w:eastAsia="楷体"/>
          <w:sz w:val="24"/>
        </w:rPr>
        <w:t>员工是企业最宝贵的财富，企业的发展离不开员工，我公司一直以来都把安全生产、职工劳动保护工作当作一切工作中的重中之重，切实维护职工的生命安全和职业健康。为进一步加强企业安全工作，营造</w:t>
      </w:r>
      <w:r>
        <w:rPr>
          <w:rFonts w:eastAsia="楷体"/>
          <w:sz w:val="24"/>
        </w:rPr>
        <w:t>“</w:t>
      </w:r>
      <w:r>
        <w:rPr>
          <w:rFonts w:eastAsia="楷体"/>
          <w:sz w:val="24"/>
        </w:rPr>
        <w:t>安全管理，人人有责</w:t>
      </w:r>
      <w:r>
        <w:rPr>
          <w:rFonts w:eastAsia="楷体"/>
          <w:sz w:val="24"/>
        </w:rPr>
        <w:t>”</w:t>
      </w:r>
      <w:r>
        <w:rPr>
          <w:rFonts w:eastAsia="楷体"/>
          <w:sz w:val="24"/>
        </w:rPr>
        <w:t>的良好氛围，树立安全为天的思想意识，</w:t>
      </w:r>
      <w:r>
        <w:rPr>
          <w:rFonts w:eastAsia="楷体"/>
          <w:sz w:val="24"/>
        </w:rPr>
        <w:t>20</w:t>
      </w:r>
      <w:r>
        <w:rPr>
          <w:rFonts w:eastAsia="楷体" w:hint="eastAsia"/>
          <w:sz w:val="24"/>
        </w:rPr>
        <w:t>24</w:t>
      </w:r>
      <w:r>
        <w:rPr>
          <w:rFonts w:eastAsia="楷体"/>
          <w:sz w:val="24"/>
        </w:rPr>
        <w:t>年</w:t>
      </w:r>
      <w:r>
        <w:rPr>
          <w:rFonts w:eastAsia="楷体"/>
          <w:sz w:val="24"/>
        </w:rPr>
        <w:t>6</w:t>
      </w:r>
      <w:r>
        <w:rPr>
          <w:rFonts w:eastAsia="楷体"/>
          <w:sz w:val="24"/>
        </w:rPr>
        <w:t>月，公司工会联合相关部门举行了</w:t>
      </w:r>
      <w:r>
        <w:rPr>
          <w:rFonts w:eastAsia="楷体"/>
          <w:sz w:val="24"/>
        </w:rPr>
        <w:t>20</w:t>
      </w:r>
      <w:r>
        <w:rPr>
          <w:rFonts w:eastAsia="楷体" w:hint="eastAsia"/>
          <w:sz w:val="24"/>
        </w:rPr>
        <w:t>24</w:t>
      </w:r>
      <w:r>
        <w:rPr>
          <w:rFonts w:eastAsia="楷体"/>
          <w:sz w:val="24"/>
        </w:rPr>
        <w:t>年</w:t>
      </w:r>
      <w:r>
        <w:rPr>
          <w:rFonts w:eastAsia="楷体"/>
          <w:sz w:val="24"/>
        </w:rPr>
        <w:t>“</w:t>
      </w:r>
      <w:r>
        <w:rPr>
          <w:rFonts w:eastAsia="楷体"/>
          <w:sz w:val="24"/>
        </w:rPr>
        <w:t>安全生产月</w:t>
      </w:r>
      <w:r>
        <w:rPr>
          <w:rFonts w:eastAsia="楷体"/>
          <w:sz w:val="24"/>
        </w:rPr>
        <w:t>”</w:t>
      </w:r>
      <w:r>
        <w:rPr>
          <w:rFonts w:eastAsia="楷体"/>
          <w:sz w:val="24"/>
        </w:rPr>
        <w:t>活动启动仪式，结合开展</w:t>
      </w:r>
      <w:r>
        <w:rPr>
          <w:rFonts w:eastAsia="楷体"/>
          <w:sz w:val="24"/>
        </w:rPr>
        <w:t>“‘</w:t>
      </w:r>
      <w:r>
        <w:rPr>
          <w:rFonts w:eastAsia="楷体"/>
          <w:sz w:val="24"/>
        </w:rPr>
        <w:t>安全生产月</w:t>
      </w:r>
      <w:r>
        <w:rPr>
          <w:rFonts w:eastAsia="楷体"/>
          <w:sz w:val="24"/>
        </w:rPr>
        <w:t>’</w:t>
      </w:r>
      <w:r>
        <w:rPr>
          <w:rFonts w:eastAsia="楷体"/>
          <w:sz w:val="24"/>
        </w:rPr>
        <w:t>安全知识教育、考核评比</w:t>
      </w:r>
      <w:r>
        <w:rPr>
          <w:rFonts w:eastAsia="楷体"/>
          <w:sz w:val="24"/>
        </w:rPr>
        <w:t>”</w:t>
      </w:r>
      <w:r>
        <w:rPr>
          <w:rFonts w:eastAsia="楷体"/>
          <w:sz w:val="24"/>
        </w:rPr>
        <w:t>活动，推动公司安全生产工作再上新台阶。此次活动坚持</w:t>
      </w:r>
      <w:r>
        <w:rPr>
          <w:rFonts w:eastAsia="楷体"/>
          <w:sz w:val="24"/>
        </w:rPr>
        <w:t>“</w:t>
      </w:r>
      <w:r>
        <w:rPr>
          <w:rFonts w:eastAsia="楷体"/>
          <w:sz w:val="24"/>
        </w:rPr>
        <w:t>安全隐患排查与治理</w:t>
      </w:r>
      <w:r>
        <w:rPr>
          <w:rFonts w:eastAsia="楷体"/>
          <w:sz w:val="24"/>
        </w:rPr>
        <w:t>”</w:t>
      </w:r>
      <w:r>
        <w:rPr>
          <w:rFonts w:eastAsia="楷体"/>
          <w:sz w:val="24"/>
        </w:rPr>
        <w:t>工作为主线，不断夯实安全基础，深入开展隐患排查治理和安全督查工作，宣传安全生产方针政策，结合公司开展的</w:t>
      </w:r>
      <w:r>
        <w:rPr>
          <w:rFonts w:eastAsia="楷体"/>
          <w:sz w:val="24"/>
        </w:rPr>
        <w:t>“</w:t>
      </w:r>
      <w:r>
        <w:rPr>
          <w:rFonts w:eastAsia="楷体"/>
          <w:sz w:val="24"/>
        </w:rPr>
        <w:t>优质优价</w:t>
      </w:r>
      <w:r>
        <w:rPr>
          <w:rFonts w:eastAsia="楷体"/>
          <w:sz w:val="24"/>
        </w:rPr>
        <w:t>”</w:t>
      </w:r>
      <w:r>
        <w:rPr>
          <w:rFonts w:eastAsia="楷体"/>
          <w:sz w:val="24"/>
        </w:rPr>
        <w:t>、</w:t>
      </w:r>
      <w:r>
        <w:rPr>
          <w:rFonts w:eastAsia="楷体"/>
          <w:sz w:val="24"/>
        </w:rPr>
        <w:t>“</w:t>
      </w:r>
      <w:r>
        <w:rPr>
          <w:rFonts w:eastAsia="楷体"/>
          <w:sz w:val="24"/>
        </w:rPr>
        <w:t>五大员</w:t>
      </w:r>
      <w:r>
        <w:rPr>
          <w:rFonts w:eastAsia="楷体"/>
          <w:sz w:val="24"/>
        </w:rPr>
        <w:t>”</w:t>
      </w:r>
      <w:r>
        <w:rPr>
          <w:rFonts w:eastAsia="楷体"/>
          <w:sz w:val="24"/>
        </w:rPr>
        <w:t>、</w:t>
      </w:r>
      <w:r>
        <w:rPr>
          <w:rFonts w:eastAsia="楷体"/>
          <w:sz w:val="24"/>
        </w:rPr>
        <w:t>“</w:t>
      </w:r>
      <w:r>
        <w:rPr>
          <w:rFonts w:eastAsia="楷体"/>
          <w:sz w:val="24"/>
        </w:rPr>
        <w:t>有效性计划管理</w:t>
      </w:r>
      <w:r>
        <w:rPr>
          <w:rFonts w:eastAsia="楷体"/>
          <w:sz w:val="24"/>
        </w:rPr>
        <w:t>”</w:t>
      </w:r>
      <w:r>
        <w:rPr>
          <w:rFonts w:eastAsia="楷体"/>
          <w:sz w:val="24"/>
        </w:rPr>
        <w:t>等活动，合理部署、整体推进，使安全生产管理深入人心，进一步提高全体干部职工的安全意识和责任意识，形成</w:t>
      </w:r>
      <w:r>
        <w:rPr>
          <w:rFonts w:eastAsia="楷体"/>
          <w:sz w:val="24"/>
        </w:rPr>
        <w:t>“</w:t>
      </w:r>
      <w:r>
        <w:rPr>
          <w:rFonts w:eastAsia="楷体"/>
          <w:sz w:val="24"/>
        </w:rPr>
        <w:t>安全生产，以人为本</w:t>
      </w:r>
      <w:r>
        <w:rPr>
          <w:rFonts w:eastAsia="楷体"/>
          <w:sz w:val="24"/>
        </w:rPr>
        <w:t>”</w:t>
      </w:r>
      <w:r>
        <w:rPr>
          <w:rFonts w:eastAsia="楷体"/>
          <w:sz w:val="24"/>
        </w:rPr>
        <w:t>的共识。</w:t>
      </w:r>
    </w:p>
    <w:p w14:paraId="32C8928C" w14:textId="77777777" w:rsidR="00823A52" w:rsidRDefault="00000000">
      <w:pPr>
        <w:pStyle w:val="2"/>
        <w:rPr>
          <w:rFonts w:ascii="Times New Roman" w:eastAsia="楷体" w:hAnsi="Times New Roman"/>
        </w:rPr>
      </w:pPr>
      <w:bookmarkStart w:id="18" w:name="_Toc522175444"/>
      <w:r>
        <w:rPr>
          <w:rFonts w:ascii="Times New Roman" w:eastAsia="楷体" w:hAnsi="Times New Roman"/>
        </w:rPr>
        <w:lastRenderedPageBreak/>
        <w:t>八、员工</w:t>
      </w:r>
      <w:bookmarkEnd w:id="18"/>
    </w:p>
    <w:p w14:paraId="53AAE19F" w14:textId="77777777" w:rsidR="00823A52" w:rsidRDefault="00000000">
      <w:pPr>
        <w:pStyle w:val="3"/>
        <w:rPr>
          <w:rFonts w:eastAsia="楷体"/>
        </w:rPr>
      </w:pPr>
      <w:bookmarkStart w:id="19" w:name="_Toc522175445"/>
      <w:r>
        <w:rPr>
          <w:rFonts w:eastAsia="楷体"/>
        </w:rPr>
        <w:t>1</w:t>
      </w:r>
      <w:r>
        <w:rPr>
          <w:rFonts w:eastAsia="楷体"/>
        </w:rPr>
        <w:t>、劳动合同与薪酬</w:t>
      </w:r>
      <w:bookmarkEnd w:id="19"/>
    </w:p>
    <w:p w14:paraId="5D9E65A7" w14:textId="77777777" w:rsidR="00823A52" w:rsidRDefault="00000000">
      <w:pPr>
        <w:autoSpaceDN w:val="0"/>
        <w:spacing w:before="150" w:after="150" w:line="378" w:lineRule="atLeast"/>
        <w:ind w:firstLine="420"/>
        <w:rPr>
          <w:rFonts w:eastAsia="楷体"/>
          <w:sz w:val="24"/>
        </w:rPr>
      </w:pPr>
      <w:r>
        <w:rPr>
          <w:rFonts w:eastAsia="楷体"/>
          <w:sz w:val="24"/>
        </w:rPr>
        <w:t>公司严格遵守、全面贯彻《中华人民共和国劳动合同法》等法律法规，遵循合法、公平、平等自愿的原则与员工签订书面劳动合同，依法进行劳动合同的履行、变更、解除和终止。劳动合同签约率</w:t>
      </w:r>
      <w:r>
        <w:rPr>
          <w:rFonts w:eastAsia="楷体"/>
          <w:sz w:val="24"/>
        </w:rPr>
        <w:t xml:space="preserve"> 100%</w:t>
      </w:r>
      <w:r>
        <w:rPr>
          <w:rFonts w:eastAsia="楷体"/>
          <w:sz w:val="24"/>
        </w:rPr>
        <w:t>。公司制定公平合理的薪酬制度，按时足额支付员工薪酬。遵循企业经营效益与员工收入同步提升的原则，根据企业年度经营目标，结合本市颁布的工资增长指导线，比照同行业人工成本和劳动力市场工资指导价位，确定年度平均工资增长幅度。因生产经营需要，安排加班需征得员工同意，按国家劳动法律法规支付相关报酬。</w:t>
      </w:r>
    </w:p>
    <w:p w14:paraId="20AEB028" w14:textId="77777777" w:rsidR="00823A52" w:rsidRDefault="00000000">
      <w:pPr>
        <w:pStyle w:val="3"/>
        <w:rPr>
          <w:rFonts w:eastAsia="楷体"/>
        </w:rPr>
      </w:pPr>
      <w:bookmarkStart w:id="20" w:name="_Toc522175446"/>
      <w:r>
        <w:rPr>
          <w:rFonts w:eastAsia="楷体"/>
        </w:rPr>
        <w:t>2</w:t>
      </w:r>
      <w:r>
        <w:rPr>
          <w:rFonts w:eastAsia="楷体"/>
        </w:rPr>
        <w:t>、社会保障</w:t>
      </w:r>
      <w:bookmarkEnd w:id="20"/>
    </w:p>
    <w:p w14:paraId="68A8A501" w14:textId="77777777" w:rsidR="00823A52" w:rsidRDefault="00000000">
      <w:pPr>
        <w:autoSpaceDN w:val="0"/>
        <w:spacing w:before="150" w:after="150" w:line="378" w:lineRule="atLeast"/>
        <w:ind w:firstLine="420"/>
        <w:rPr>
          <w:rFonts w:eastAsia="楷体"/>
          <w:sz w:val="24"/>
        </w:rPr>
      </w:pPr>
      <w:r>
        <w:rPr>
          <w:rFonts w:eastAsia="楷体"/>
          <w:sz w:val="24"/>
        </w:rPr>
        <w:t>公司依法为员工按时足额缴纳养老金、失业保险金、医疗保险金等社会保险。</w:t>
      </w:r>
    </w:p>
    <w:p w14:paraId="28CEF33A" w14:textId="77777777" w:rsidR="00823A52" w:rsidRDefault="00000000">
      <w:pPr>
        <w:pStyle w:val="3"/>
        <w:rPr>
          <w:rFonts w:eastAsia="楷体"/>
        </w:rPr>
      </w:pPr>
      <w:bookmarkStart w:id="21" w:name="_Toc522175447"/>
      <w:r>
        <w:rPr>
          <w:rFonts w:eastAsia="楷体"/>
        </w:rPr>
        <w:t>3</w:t>
      </w:r>
      <w:r>
        <w:rPr>
          <w:rFonts w:eastAsia="楷体"/>
        </w:rPr>
        <w:t>、员工福利</w:t>
      </w:r>
      <w:bookmarkEnd w:id="21"/>
    </w:p>
    <w:p w14:paraId="2655C613" w14:textId="77777777" w:rsidR="00823A52" w:rsidRDefault="00000000">
      <w:pPr>
        <w:autoSpaceDN w:val="0"/>
        <w:spacing w:before="150" w:after="150" w:line="378" w:lineRule="atLeast"/>
        <w:ind w:firstLine="420"/>
        <w:rPr>
          <w:rFonts w:eastAsia="楷体"/>
          <w:sz w:val="24"/>
        </w:rPr>
      </w:pPr>
      <w:r>
        <w:rPr>
          <w:rFonts w:eastAsia="楷体"/>
          <w:sz w:val="24"/>
        </w:rPr>
        <w:t>为丰富员工的业余生活，公司也组织策划了各类型活动，如新春联谊会，</w:t>
      </w:r>
      <w:proofErr w:type="gramStart"/>
      <w:r>
        <w:rPr>
          <w:rFonts w:eastAsia="楷体" w:hint="eastAsia"/>
          <w:sz w:val="24"/>
        </w:rPr>
        <w:t>2023</w:t>
      </w:r>
      <w:r>
        <w:rPr>
          <w:rFonts w:eastAsia="楷体"/>
          <w:sz w:val="24"/>
        </w:rPr>
        <w:t>年</w:t>
      </w:r>
      <w:r>
        <w:rPr>
          <w:rFonts w:eastAsia="楷体" w:hint="eastAsia"/>
          <w:sz w:val="24"/>
        </w:rPr>
        <w:t>汇福粮油</w:t>
      </w:r>
      <w:proofErr w:type="gramEnd"/>
      <w:r>
        <w:rPr>
          <w:rFonts w:eastAsia="楷体" w:hint="eastAsia"/>
          <w:sz w:val="24"/>
        </w:rPr>
        <w:t>第五届趣味运动会</w:t>
      </w:r>
      <w:r>
        <w:rPr>
          <w:rFonts w:eastAsia="楷体"/>
          <w:sz w:val="24"/>
        </w:rPr>
        <w:t>，</w:t>
      </w:r>
      <w:r>
        <w:rPr>
          <w:rFonts w:eastAsia="楷体" w:hint="eastAsia"/>
          <w:sz w:val="24"/>
        </w:rPr>
        <w:t>公司精心安排了趣味十足的各项活动，包括拔河、袋鼠跳、托球跑、跳绳、摸石过河、穿衣接龙、羽毛球、乒乓球和篮球比赛共</w:t>
      </w:r>
      <w:r>
        <w:rPr>
          <w:rFonts w:eastAsia="楷体" w:hint="eastAsia"/>
          <w:sz w:val="24"/>
        </w:rPr>
        <w:t>9</w:t>
      </w:r>
      <w:r>
        <w:rPr>
          <w:rFonts w:eastAsia="楷体" w:hint="eastAsia"/>
          <w:sz w:val="24"/>
        </w:rPr>
        <w:t>个项目，为选手们准备了丰厚的奖品。</w:t>
      </w:r>
      <w:r>
        <w:rPr>
          <w:rFonts w:eastAsia="楷体"/>
          <w:sz w:val="24"/>
        </w:rPr>
        <w:t>活跃和丰富了员工业余生活，激发了员工学习热情，增强了大家的凝聚力，在公司形成了良好的学习氛围。</w:t>
      </w:r>
    </w:p>
    <w:p w14:paraId="439C7DC0" w14:textId="77777777" w:rsidR="00823A52" w:rsidRDefault="00000000">
      <w:pPr>
        <w:autoSpaceDN w:val="0"/>
        <w:spacing w:before="150" w:after="150" w:line="378" w:lineRule="atLeast"/>
        <w:ind w:firstLine="420"/>
        <w:rPr>
          <w:rFonts w:eastAsia="楷体"/>
          <w:sz w:val="24"/>
        </w:rPr>
      </w:pPr>
      <w:r>
        <w:rPr>
          <w:rFonts w:eastAsia="楷体"/>
          <w:sz w:val="24"/>
        </w:rPr>
        <w:t>对员工的责任是让全体员工安全、健康、快乐、富有。体现的是</w:t>
      </w:r>
      <w:r>
        <w:rPr>
          <w:rFonts w:eastAsia="楷体"/>
          <w:sz w:val="24"/>
        </w:rPr>
        <w:t>“</w:t>
      </w:r>
      <w:r>
        <w:rPr>
          <w:rFonts w:eastAsia="楷体"/>
          <w:sz w:val="24"/>
        </w:rPr>
        <w:t>家</w:t>
      </w:r>
      <w:r>
        <w:rPr>
          <w:rFonts w:eastAsia="楷体"/>
          <w:sz w:val="24"/>
        </w:rPr>
        <w:t>”</w:t>
      </w:r>
      <w:r>
        <w:rPr>
          <w:rFonts w:eastAsia="楷体"/>
          <w:sz w:val="24"/>
        </w:rPr>
        <w:t>文化。公司工会更是以关心员工生活，为群众办好事实事为已任，工会委员把关心做到</w:t>
      </w:r>
      <w:r>
        <w:rPr>
          <w:rFonts w:eastAsia="楷体"/>
          <w:sz w:val="24"/>
        </w:rPr>
        <w:t>“</w:t>
      </w:r>
      <w:r>
        <w:rPr>
          <w:rFonts w:eastAsia="楷体"/>
          <w:sz w:val="24"/>
        </w:rPr>
        <w:t>家</w:t>
      </w:r>
      <w:r>
        <w:rPr>
          <w:rFonts w:eastAsia="楷体"/>
          <w:sz w:val="24"/>
        </w:rPr>
        <w:t>”</w:t>
      </w:r>
      <w:r>
        <w:rPr>
          <w:rFonts w:eastAsia="楷体"/>
          <w:sz w:val="24"/>
        </w:rPr>
        <w:t>。公司工会每年会拿出一部分资金慰问在职和已退休的困难员工，认真了解员工的实际工作状况和所思所想所求，为员工排忧解难。为了更好地服务于职工，公司工会积极组织策划了一系列专题活动。如：端午节、中秋节宴请外地</w:t>
      </w:r>
      <w:r>
        <w:rPr>
          <w:rFonts w:eastAsia="楷体" w:hint="eastAsia"/>
          <w:sz w:val="24"/>
        </w:rPr>
        <w:t>员工</w:t>
      </w:r>
      <w:r>
        <w:rPr>
          <w:rFonts w:eastAsia="楷体"/>
          <w:sz w:val="24"/>
        </w:rPr>
        <w:t>聚餐；</w:t>
      </w:r>
      <w:r>
        <w:rPr>
          <w:rFonts w:eastAsia="楷体"/>
          <w:sz w:val="24"/>
        </w:rPr>
        <w:t>20</w:t>
      </w:r>
      <w:r>
        <w:rPr>
          <w:rFonts w:eastAsia="楷体" w:hint="eastAsia"/>
          <w:sz w:val="24"/>
        </w:rPr>
        <w:t>24</w:t>
      </w:r>
      <w:r>
        <w:rPr>
          <w:rFonts w:eastAsia="楷体"/>
          <w:sz w:val="24"/>
        </w:rPr>
        <w:t>年</w:t>
      </w:r>
      <w:r>
        <w:rPr>
          <w:rFonts w:eastAsia="楷体"/>
          <w:sz w:val="24"/>
        </w:rPr>
        <w:t>8</w:t>
      </w:r>
      <w:r>
        <w:rPr>
          <w:rFonts w:eastAsia="楷体"/>
          <w:sz w:val="24"/>
        </w:rPr>
        <w:t>月组织</w:t>
      </w:r>
      <w:r>
        <w:rPr>
          <w:rFonts w:eastAsia="楷体"/>
          <w:sz w:val="24"/>
        </w:rPr>
        <w:t>20</w:t>
      </w:r>
      <w:r>
        <w:rPr>
          <w:rFonts w:eastAsia="楷体" w:hint="eastAsia"/>
          <w:sz w:val="24"/>
        </w:rPr>
        <w:t>23</w:t>
      </w:r>
      <w:r>
        <w:rPr>
          <w:rFonts w:eastAsia="楷体"/>
          <w:sz w:val="24"/>
        </w:rPr>
        <w:t>年录取大学的员工子女前来公司参观、交流。通过一系列活动的开展，让员工充分感受到公司的人文关怀，让</w:t>
      </w:r>
      <w:r>
        <w:rPr>
          <w:rFonts w:eastAsia="楷体"/>
          <w:sz w:val="24"/>
        </w:rPr>
        <w:t>“</w:t>
      </w:r>
      <w:r>
        <w:rPr>
          <w:rFonts w:eastAsia="楷体" w:hint="eastAsia"/>
          <w:sz w:val="24"/>
        </w:rPr>
        <w:t>汇福之</w:t>
      </w:r>
      <w:r>
        <w:rPr>
          <w:rFonts w:eastAsia="楷体"/>
          <w:sz w:val="24"/>
        </w:rPr>
        <w:t>家文化</w:t>
      </w:r>
      <w:r>
        <w:rPr>
          <w:rFonts w:eastAsia="楷体"/>
          <w:sz w:val="24"/>
        </w:rPr>
        <w:t>”</w:t>
      </w:r>
      <w:r>
        <w:rPr>
          <w:rFonts w:eastAsia="楷体"/>
          <w:sz w:val="24"/>
        </w:rPr>
        <w:t>的观念深入员工心中。通过先进集体、先进个人和工会积极分子的评选表彰活动，宣传员工的优秀事迹，弘扬员工身上所体现的企业精神，并通过精神、理念、传统等无形的因素，陶冶员工的情操，培养员工群体意识和良好的共同习俗和道德风尚。</w:t>
      </w:r>
    </w:p>
    <w:p w14:paraId="65910717" w14:textId="77777777" w:rsidR="00823A52" w:rsidRDefault="00000000">
      <w:pPr>
        <w:pStyle w:val="3"/>
        <w:rPr>
          <w:rFonts w:eastAsia="楷体"/>
        </w:rPr>
      </w:pPr>
      <w:bookmarkStart w:id="22" w:name="_Toc522175448"/>
      <w:r>
        <w:rPr>
          <w:rFonts w:eastAsia="楷体"/>
        </w:rPr>
        <w:lastRenderedPageBreak/>
        <w:t>4</w:t>
      </w:r>
      <w:r>
        <w:rPr>
          <w:rFonts w:eastAsia="楷体"/>
        </w:rPr>
        <w:t>、职业健康安全</w:t>
      </w:r>
      <w:bookmarkEnd w:id="22"/>
    </w:p>
    <w:p w14:paraId="07C9DD1E" w14:textId="77777777" w:rsidR="00823A52" w:rsidRDefault="00000000">
      <w:pPr>
        <w:autoSpaceDN w:val="0"/>
        <w:spacing w:before="150" w:after="150" w:line="378" w:lineRule="atLeast"/>
        <w:ind w:firstLine="420"/>
        <w:rPr>
          <w:rFonts w:eastAsia="楷体"/>
          <w:sz w:val="24"/>
        </w:rPr>
      </w:pPr>
      <w:r>
        <w:rPr>
          <w:rFonts w:eastAsia="楷体"/>
          <w:sz w:val="24"/>
        </w:rPr>
        <w:t>关注员工身心健康，进行全员健康普查。公司每年一次为员工进行健康普查，为女员工进行妇科检查。建立了员工健康电子档案。与此同时，积极开展职业健康宣传，利用发布预防疾病的信息和知识等综合手段，关心员工健康，减少疾病危害。</w:t>
      </w:r>
    </w:p>
    <w:p w14:paraId="6634809E" w14:textId="77777777" w:rsidR="00823A52" w:rsidRDefault="00000000">
      <w:pPr>
        <w:pStyle w:val="3"/>
        <w:rPr>
          <w:rFonts w:eastAsia="楷体"/>
        </w:rPr>
      </w:pPr>
      <w:bookmarkStart w:id="23" w:name="_Toc522175449"/>
      <w:r>
        <w:rPr>
          <w:rFonts w:eastAsia="楷体"/>
        </w:rPr>
        <w:t>5</w:t>
      </w:r>
      <w:r>
        <w:rPr>
          <w:rFonts w:eastAsia="楷体"/>
        </w:rPr>
        <w:t>、民主管理</w:t>
      </w:r>
      <w:bookmarkEnd w:id="23"/>
    </w:p>
    <w:p w14:paraId="07371A7F" w14:textId="77777777" w:rsidR="00823A52" w:rsidRDefault="00000000">
      <w:pPr>
        <w:autoSpaceDN w:val="0"/>
        <w:spacing w:before="150" w:after="150" w:line="378" w:lineRule="atLeast"/>
        <w:ind w:firstLine="420"/>
        <w:rPr>
          <w:rFonts w:eastAsia="楷体"/>
          <w:sz w:val="24"/>
        </w:rPr>
      </w:pPr>
      <w:r>
        <w:rPr>
          <w:rFonts w:eastAsia="楷体"/>
          <w:sz w:val="24"/>
        </w:rPr>
        <w:t>公司依法建立健全工会组织，维护员工权益。支持工会依法开展各项活动，定期和工会沟通，积极回应工会及其代表所投送的报告、建议及意见书等。工会主席参与涉及员工切身利益的规章制度的编制和讨论，并通过员工（代表）大会等途径审议确定。建立工资集体协商机制，针对相关的重大事项，如：工资调整机制、奖励性工资、加班工资、最低工资水平等进行平等协商；在各项涉及到员工利益的改革措施出台前，坚持召开员工代表大会以投票表决的形式予以通过后实施。公司全力支持员工参加工会，鼓励员工多途径参与民主管理。如：职代会制度，领导干部民主评议等。公司成立由党支部、工会和员工代表三方组成的劳动纠纷调解委员会，建立劳动纠纷调解的处理程序。</w:t>
      </w:r>
    </w:p>
    <w:p w14:paraId="68003F98" w14:textId="77777777" w:rsidR="00823A52" w:rsidRDefault="00000000">
      <w:pPr>
        <w:pStyle w:val="3"/>
        <w:rPr>
          <w:rFonts w:eastAsia="楷体"/>
        </w:rPr>
      </w:pPr>
      <w:bookmarkStart w:id="24" w:name="_Toc522175450"/>
      <w:r>
        <w:rPr>
          <w:rFonts w:eastAsia="楷体"/>
        </w:rPr>
        <w:t>6</w:t>
      </w:r>
      <w:r>
        <w:rPr>
          <w:rFonts w:eastAsia="楷体"/>
        </w:rPr>
        <w:t>、员工培训和发展</w:t>
      </w:r>
      <w:bookmarkEnd w:id="24"/>
    </w:p>
    <w:p w14:paraId="6C9492AB" w14:textId="77777777" w:rsidR="00823A52" w:rsidRDefault="00000000">
      <w:pPr>
        <w:autoSpaceDN w:val="0"/>
        <w:spacing w:before="150" w:after="150" w:line="378" w:lineRule="atLeast"/>
        <w:ind w:firstLineChars="200" w:firstLine="480"/>
        <w:rPr>
          <w:rFonts w:eastAsia="楷体"/>
          <w:sz w:val="24"/>
        </w:rPr>
      </w:pPr>
      <w:r>
        <w:rPr>
          <w:rFonts w:eastAsia="楷体"/>
          <w:sz w:val="24"/>
        </w:rPr>
        <w:t>开展全方位、多层次、系统性的教育培训。公司将培训内容分为学历培训、入职培训、专业培训、管理培训四种，将培训形式分为公开课、内部培训、内训、培训项目四种。公司实施个性化的员工学习与发展计划。针对管理员工，每年资助优秀员工进行学历培训。针对专业技术人员，邀请国际国内技术专家举办专题讲座，每年技术研究报告会等形式，将知识和经验进行传承。针对制造现场人员，对不同的职位开展一系列活动和培训，如上岗培训、班长培训、岗位技能培训、学历培训等等。</w:t>
      </w:r>
    </w:p>
    <w:p w14:paraId="1ACB8BE8" w14:textId="77777777" w:rsidR="00823A52" w:rsidRDefault="00000000">
      <w:pPr>
        <w:autoSpaceDN w:val="0"/>
        <w:spacing w:before="150" w:after="150" w:line="378" w:lineRule="atLeast"/>
        <w:ind w:firstLineChars="200" w:firstLine="480"/>
        <w:rPr>
          <w:rFonts w:eastAsia="楷体"/>
          <w:sz w:val="24"/>
        </w:rPr>
      </w:pPr>
      <w:r>
        <w:rPr>
          <w:rFonts w:eastAsia="楷体" w:hint="eastAsia"/>
          <w:sz w:val="24"/>
        </w:rPr>
        <w:t>2020</w:t>
      </w:r>
      <w:r>
        <w:rPr>
          <w:rFonts w:eastAsia="楷体" w:hint="eastAsia"/>
          <w:sz w:val="24"/>
        </w:rPr>
        <w:t>年</w:t>
      </w:r>
      <w:r>
        <w:rPr>
          <w:rFonts w:eastAsia="楷体" w:hint="eastAsia"/>
          <w:sz w:val="24"/>
        </w:rPr>
        <w:t>11</w:t>
      </w:r>
      <w:r>
        <w:rPr>
          <w:rFonts w:eastAsia="楷体" w:hint="eastAsia"/>
          <w:sz w:val="24"/>
        </w:rPr>
        <w:t>月公司被评为“泰州市模范职工之间”称号，</w:t>
      </w:r>
      <w:r>
        <w:rPr>
          <w:rFonts w:eastAsia="楷体"/>
          <w:sz w:val="24"/>
        </w:rPr>
        <w:t>20</w:t>
      </w:r>
      <w:r>
        <w:rPr>
          <w:rFonts w:eastAsia="楷体" w:hint="eastAsia"/>
          <w:sz w:val="24"/>
        </w:rPr>
        <w:t>22</w:t>
      </w:r>
      <w:r>
        <w:rPr>
          <w:rFonts w:eastAsia="楷体"/>
          <w:sz w:val="24"/>
        </w:rPr>
        <w:t>年</w:t>
      </w:r>
      <w:r>
        <w:rPr>
          <w:rFonts w:eastAsia="楷体" w:hint="eastAsia"/>
          <w:sz w:val="24"/>
        </w:rPr>
        <w:t>12</w:t>
      </w:r>
      <w:r>
        <w:rPr>
          <w:rFonts w:eastAsia="楷体"/>
          <w:sz w:val="24"/>
        </w:rPr>
        <w:t>月公司被评为</w:t>
      </w:r>
      <w:r>
        <w:rPr>
          <w:rFonts w:eastAsia="楷体"/>
          <w:sz w:val="24"/>
        </w:rPr>
        <w:t>“</w:t>
      </w:r>
      <w:r>
        <w:rPr>
          <w:rFonts w:eastAsia="楷体" w:hint="eastAsia"/>
          <w:sz w:val="24"/>
        </w:rPr>
        <w:t>江苏省优秀劳动关系和谐企业</w:t>
      </w:r>
      <w:r>
        <w:rPr>
          <w:rFonts w:eastAsia="楷体"/>
          <w:sz w:val="24"/>
        </w:rPr>
        <w:t>”</w:t>
      </w:r>
      <w:r>
        <w:rPr>
          <w:rFonts w:eastAsia="楷体"/>
          <w:sz w:val="24"/>
        </w:rPr>
        <w:t>称号。</w:t>
      </w:r>
    </w:p>
    <w:p w14:paraId="0DC2F869" w14:textId="77777777" w:rsidR="00823A52" w:rsidRDefault="00000000">
      <w:pPr>
        <w:pStyle w:val="2"/>
        <w:rPr>
          <w:rFonts w:ascii="Times New Roman" w:eastAsia="楷体" w:hAnsi="Times New Roman"/>
        </w:rPr>
      </w:pPr>
      <w:bookmarkStart w:id="25" w:name="_Toc522175451"/>
      <w:r>
        <w:rPr>
          <w:rFonts w:ascii="Times New Roman" w:eastAsia="楷体" w:hAnsi="Times New Roman"/>
        </w:rPr>
        <w:t>九、社会责任</w:t>
      </w:r>
      <w:bookmarkEnd w:id="25"/>
    </w:p>
    <w:p w14:paraId="0BC07F4F" w14:textId="77777777" w:rsidR="00823A52" w:rsidRDefault="00000000">
      <w:pPr>
        <w:spacing w:line="360" w:lineRule="auto"/>
        <w:outlineLvl w:val="1"/>
        <w:rPr>
          <w:rFonts w:eastAsia="楷体"/>
          <w:b/>
          <w:sz w:val="24"/>
        </w:rPr>
      </w:pPr>
      <w:bookmarkStart w:id="26" w:name="_Toc522175452"/>
      <w:r>
        <w:rPr>
          <w:rFonts w:eastAsia="楷体"/>
          <w:b/>
          <w:sz w:val="24"/>
        </w:rPr>
        <w:t>提要</w:t>
      </w:r>
      <w:bookmarkEnd w:id="26"/>
    </w:p>
    <w:p w14:paraId="72E09EC9" w14:textId="77777777" w:rsidR="00823A52" w:rsidRDefault="00000000">
      <w:pPr>
        <w:spacing w:line="360" w:lineRule="auto"/>
        <w:ind w:firstLineChars="200" w:firstLine="480"/>
        <w:rPr>
          <w:rFonts w:eastAsia="楷体"/>
          <w:sz w:val="24"/>
        </w:rPr>
      </w:pPr>
      <w:r>
        <w:rPr>
          <w:rFonts w:eastAsia="楷体"/>
          <w:sz w:val="24"/>
        </w:rPr>
        <w:t>一个卓越企业既要考虑当前利益，更重要的是着眼长远可持续发展。而长远</w:t>
      </w:r>
      <w:r>
        <w:rPr>
          <w:rFonts w:eastAsia="楷体"/>
          <w:sz w:val="24"/>
        </w:rPr>
        <w:lastRenderedPageBreak/>
        <w:t>发展和持续经营，离不开社会的协同、和谐与发展。认真履行社会责任是不可小视的重要内容。</w:t>
      </w:r>
      <w:r>
        <w:rPr>
          <w:rFonts w:eastAsia="楷体" w:hint="eastAsia"/>
          <w:sz w:val="24"/>
        </w:rPr>
        <w:t>公司</w:t>
      </w:r>
      <w:r>
        <w:rPr>
          <w:rFonts w:eastAsia="楷体"/>
          <w:sz w:val="24"/>
        </w:rPr>
        <w:t>在追求经济效益、保护投资方利益、不断发展的同时，积极履行公共责任及恪守道德规范，保护职工的合法权益，诚信对待供应商、客户，做到以公司的健康发展实现投资方、员工收益同步成长，让客户满意、社会放心，从而促进公司与社会的协调、和谐发展。</w:t>
      </w:r>
    </w:p>
    <w:p w14:paraId="2E3881DA" w14:textId="77777777" w:rsidR="00823A52" w:rsidRDefault="00000000">
      <w:pPr>
        <w:spacing w:line="360" w:lineRule="auto"/>
        <w:ind w:firstLineChars="200" w:firstLine="480"/>
        <w:rPr>
          <w:rFonts w:eastAsia="楷体"/>
          <w:sz w:val="24"/>
        </w:rPr>
      </w:pPr>
      <w:r>
        <w:rPr>
          <w:rFonts w:eastAsia="楷体"/>
          <w:sz w:val="24"/>
        </w:rPr>
        <w:t>承担的社会责任包括：公共责任、道德规范和自愿开展的公益支持三部分。</w:t>
      </w:r>
    </w:p>
    <w:p w14:paraId="48DA5359" w14:textId="77777777" w:rsidR="00823A52" w:rsidRDefault="00000000">
      <w:pPr>
        <w:spacing w:line="360" w:lineRule="auto"/>
        <w:outlineLvl w:val="1"/>
        <w:rPr>
          <w:rFonts w:eastAsia="楷体"/>
          <w:b/>
        </w:rPr>
      </w:pPr>
      <w:bookmarkStart w:id="27" w:name="_Toc522175453"/>
      <w:r>
        <w:rPr>
          <w:rFonts w:eastAsia="楷体"/>
          <w:b/>
          <w:sz w:val="24"/>
        </w:rPr>
        <w:t>1</w:t>
      </w:r>
      <w:r>
        <w:rPr>
          <w:rFonts w:eastAsia="楷体"/>
          <w:b/>
          <w:sz w:val="24"/>
        </w:rPr>
        <w:t>、公共责任</w:t>
      </w:r>
      <w:bookmarkEnd w:id="27"/>
    </w:p>
    <w:p w14:paraId="7ABC5E49" w14:textId="77777777" w:rsidR="00823A52" w:rsidRDefault="00000000">
      <w:pPr>
        <w:spacing w:line="360" w:lineRule="auto"/>
        <w:ind w:firstLineChars="200" w:firstLine="482"/>
        <w:rPr>
          <w:rFonts w:eastAsia="楷体"/>
          <w:b/>
          <w:sz w:val="24"/>
        </w:rPr>
      </w:pPr>
      <w:r>
        <w:rPr>
          <w:rFonts w:eastAsia="楷体"/>
          <w:b/>
          <w:sz w:val="24"/>
        </w:rPr>
        <w:t>（</w:t>
      </w:r>
      <w:r>
        <w:rPr>
          <w:rFonts w:eastAsia="楷体"/>
          <w:b/>
          <w:sz w:val="24"/>
        </w:rPr>
        <w:t>1</w:t>
      </w:r>
      <w:r>
        <w:rPr>
          <w:rFonts w:eastAsia="楷体"/>
          <w:b/>
          <w:sz w:val="24"/>
        </w:rPr>
        <w:t>）公司对质量安全、环境保护、能源节约和资源综合利用以及公共卫生等方面的社会影响，并采取预防、控制和改进措施。</w:t>
      </w:r>
    </w:p>
    <w:p w14:paraId="277A185F" w14:textId="77777777" w:rsidR="00823A52" w:rsidRDefault="00000000">
      <w:pPr>
        <w:spacing w:line="360" w:lineRule="auto"/>
        <w:ind w:firstLineChars="200" w:firstLine="480"/>
        <w:rPr>
          <w:rFonts w:eastAsia="楷体"/>
          <w:sz w:val="24"/>
        </w:rPr>
      </w:pPr>
      <w:r>
        <w:rPr>
          <w:rFonts w:eastAsia="楷体"/>
          <w:sz w:val="24"/>
        </w:rPr>
        <w:t>公司严格执行</w:t>
      </w:r>
      <w:r>
        <w:rPr>
          <w:rFonts w:eastAsia="楷体"/>
          <w:sz w:val="24"/>
        </w:rPr>
        <w:t xml:space="preserve">GBT19001/ISO9001 </w:t>
      </w:r>
      <w:r>
        <w:rPr>
          <w:rFonts w:eastAsia="楷体"/>
          <w:sz w:val="24"/>
        </w:rPr>
        <w:t>质量管理体系要求，</w:t>
      </w:r>
      <w:r>
        <w:rPr>
          <w:rFonts w:eastAsia="楷体"/>
          <w:sz w:val="24"/>
        </w:rPr>
        <w:t>GB/T24001/ISO14001</w:t>
      </w:r>
      <w:r>
        <w:rPr>
          <w:rFonts w:eastAsia="楷体"/>
          <w:sz w:val="24"/>
        </w:rPr>
        <w:t>环境管理体系和</w:t>
      </w:r>
      <w:r>
        <w:rPr>
          <w:rFonts w:eastAsia="楷体"/>
          <w:sz w:val="24"/>
        </w:rPr>
        <w:t>GB/T28001/OHSAS18001</w:t>
      </w:r>
      <w:r>
        <w:rPr>
          <w:rFonts w:eastAsia="楷体"/>
          <w:sz w:val="24"/>
        </w:rPr>
        <w:t>职业健康安全管理体系要求，公司制定了严密的质量安全防控体系，公司的产品经过充分设计论证、试验、检验、测试，才能投入正常生产运行。公司在积极推行安全体系标准化工作，获得了社会、员工、客户的广泛认可。</w:t>
      </w:r>
    </w:p>
    <w:p w14:paraId="1205C61D" w14:textId="77777777" w:rsidR="00823A52" w:rsidRDefault="00823A52">
      <w:pPr>
        <w:rPr>
          <w:rFonts w:eastAsia="楷体"/>
          <w:szCs w:val="21"/>
        </w:rPr>
      </w:pPr>
    </w:p>
    <w:p w14:paraId="028DF299" w14:textId="77777777" w:rsidR="00823A52" w:rsidRDefault="00000000">
      <w:pPr>
        <w:spacing w:line="360" w:lineRule="auto"/>
        <w:ind w:firstLineChars="200" w:firstLine="482"/>
        <w:rPr>
          <w:rFonts w:eastAsia="楷体"/>
          <w:b/>
          <w:sz w:val="24"/>
        </w:rPr>
      </w:pPr>
      <w:r>
        <w:rPr>
          <w:rFonts w:eastAsia="楷体"/>
          <w:b/>
          <w:sz w:val="24"/>
        </w:rPr>
        <w:t>(2)</w:t>
      </w:r>
      <w:r>
        <w:rPr>
          <w:rFonts w:eastAsia="楷体"/>
          <w:b/>
          <w:sz w:val="24"/>
        </w:rPr>
        <w:t>主动预见公众对产品、服务和运营方面的隐忧，做出应对准备</w:t>
      </w:r>
    </w:p>
    <w:p w14:paraId="1AA08391" w14:textId="77777777" w:rsidR="00823A52" w:rsidRDefault="00000000">
      <w:pPr>
        <w:spacing w:line="360" w:lineRule="auto"/>
        <w:ind w:firstLineChars="200" w:firstLine="480"/>
        <w:rPr>
          <w:rFonts w:eastAsia="楷体"/>
          <w:sz w:val="24"/>
        </w:rPr>
      </w:pPr>
      <w:r>
        <w:rPr>
          <w:rFonts w:eastAsia="楷体"/>
          <w:sz w:val="24"/>
        </w:rPr>
        <w:t>公司在应对公众对新建基础设施的环境安全的隐忧问题上，除了确保配套环境、安全设施的同时设计、同时施工、同时交付使用外；应对公众对突发事件的隐忧，还制定应急预案并进行定期演练。</w:t>
      </w:r>
    </w:p>
    <w:p w14:paraId="1AE41D0F" w14:textId="77777777" w:rsidR="00823A52" w:rsidRDefault="00000000">
      <w:pPr>
        <w:spacing w:line="360" w:lineRule="auto"/>
        <w:ind w:firstLineChars="200" w:firstLine="480"/>
        <w:rPr>
          <w:rFonts w:eastAsia="楷体"/>
          <w:sz w:val="24"/>
        </w:rPr>
      </w:pPr>
      <w:r>
        <w:rPr>
          <w:rFonts w:eastAsia="楷体"/>
          <w:sz w:val="24"/>
        </w:rPr>
        <w:t>在办公楼设立了明确的消防、安全应急通道、安全指示牌、应急电源指示灯等；生产现场、作业区明确安全通道、护栏、各安全消防设施存放等标识；电器设备、起重设备、机械等设备明确的载荷、安全作业指标标识；设立了疏散、集合点等等；对产品的包装安全等</w:t>
      </w:r>
      <w:proofErr w:type="gramStart"/>
      <w:r>
        <w:rPr>
          <w:rFonts w:eastAsia="楷体"/>
          <w:sz w:val="24"/>
        </w:rPr>
        <w:t>作出</w:t>
      </w:r>
      <w:proofErr w:type="gramEnd"/>
      <w:r>
        <w:rPr>
          <w:rFonts w:eastAsia="楷体"/>
          <w:sz w:val="24"/>
        </w:rPr>
        <w:t>了明确要求，杜绝和抵制使用损害生态环境的木质包装，推广安全、可重复使用以及可回收的钢结构包装方法等等。</w:t>
      </w:r>
    </w:p>
    <w:p w14:paraId="3C3B8897" w14:textId="77777777" w:rsidR="00823A52" w:rsidRDefault="00000000">
      <w:pPr>
        <w:spacing w:line="360" w:lineRule="auto"/>
        <w:ind w:firstLineChars="200" w:firstLine="480"/>
        <w:rPr>
          <w:rFonts w:eastAsia="楷体"/>
          <w:sz w:val="24"/>
        </w:rPr>
      </w:pPr>
      <w:r>
        <w:rPr>
          <w:rFonts w:eastAsia="楷体"/>
          <w:sz w:val="24"/>
        </w:rPr>
        <w:t>公司准确把握法规、标准、政策走向及公众关注焦点，通过行业协会信息收集、专业研究机构咨询、开展公众调查等方法，组织分析论证，听取政府机构和行业专家的意见建议，找出目前关注的环保、节能、安全生产等方面问题，不断改进完善相应的对策和措施。并在打造舒适环境、创建国际一流的花园式工业企业方面，取得了显著效果。公司针对公众隐忧的原因分析及采取措施见表</w:t>
      </w:r>
      <w:r>
        <w:rPr>
          <w:rFonts w:eastAsia="楷体"/>
          <w:sz w:val="24"/>
        </w:rPr>
        <w:t>1.4-1</w:t>
      </w:r>
      <w:r>
        <w:rPr>
          <w:rFonts w:eastAsia="楷体"/>
          <w:sz w:val="24"/>
        </w:rPr>
        <w:t>。</w:t>
      </w:r>
    </w:p>
    <w:p w14:paraId="52F3CEEA" w14:textId="77777777" w:rsidR="00823A52" w:rsidRDefault="00823A52">
      <w:pPr>
        <w:jc w:val="center"/>
        <w:rPr>
          <w:rFonts w:eastAsia="楷体"/>
          <w:szCs w:val="21"/>
        </w:rPr>
      </w:pPr>
    </w:p>
    <w:p w14:paraId="6E55BA7A" w14:textId="77777777" w:rsidR="00823A52" w:rsidRDefault="00000000">
      <w:pPr>
        <w:jc w:val="center"/>
        <w:rPr>
          <w:rFonts w:eastAsia="楷体"/>
          <w:szCs w:val="21"/>
        </w:rPr>
      </w:pPr>
      <w:r>
        <w:rPr>
          <w:rFonts w:eastAsia="楷体"/>
          <w:szCs w:val="21"/>
        </w:rPr>
        <w:lastRenderedPageBreak/>
        <w:t>表</w:t>
      </w:r>
      <w:r>
        <w:rPr>
          <w:rFonts w:eastAsia="楷体"/>
          <w:szCs w:val="21"/>
        </w:rPr>
        <w:t xml:space="preserve">1.4-1  </w:t>
      </w:r>
      <w:r>
        <w:rPr>
          <w:rFonts w:eastAsia="楷体"/>
          <w:szCs w:val="21"/>
        </w:rPr>
        <w:t>公司针对公众隐忧的原因分析及采取措施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1621"/>
        <w:gridCol w:w="5757"/>
      </w:tblGrid>
      <w:tr w:rsidR="00823A52" w14:paraId="2234F30F" w14:textId="77777777">
        <w:trPr>
          <w:trHeight w:val="505"/>
        </w:trPr>
        <w:tc>
          <w:tcPr>
            <w:tcW w:w="1082" w:type="dxa"/>
            <w:shd w:val="clear" w:color="auto" w:fill="D7D7D7"/>
            <w:vAlign w:val="center"/>
          </w:tcPr>
          <w:p w14:paraId="69DFC17F" w14:textId="77777777" w:rsidR="00823A52" w:rsidRDefault="00000000">
            <w:pPr>
              <w:spacing w:line="240" w:lineRule="exact"/>
              <w:jc w:val="center"/>
              <w:rPr>
                <w:rFonts w:eastAsia="楷体"/>
                <w:b/>
                <w:bCs/>
                <w:szCs w:val="21"/>
              </w:rPr>
            </w:pPr>
            <w:r>
              <w:rPr>
                <w:rFonts w:eastAsia="楷体"/>
                <w:b/>
                <w:bCs/>
                <w:szCs w:val="21"/>
              </w:rPr>
              <w:t>公共</w:t>
            </w:r>
          </w:p>
          <w:p w14:paraId="480F039F" w14:textId="77777777" w:rsidR="00823A52" w:rsidRDefault="00000000">
            <w:pPr>
              <w:spacing w:line="240" w:lineRule="exact"/>
              <w:jc w:val="center"/>
              <w:rPr>
                <w:rFonts w:eastAsia="楷体"/>
                <w:b/>
                <w:bCs/>
                <w:szCs w:val="21"/>
              </w:rPr>
            </w:pPr>
            <w:r>
              <w:rPr>
                <w:rFonts w:eastAsia="楷体"/>
                <w:b/>
                <w:bCs/>
                <w:szCs w:val="21"/>
              </w:rPr>
              <w:t>隐忧</w:t>
            </w:r>
          </w:p>
        </w:tc>
        <w:tc>
          <w:tcPr>
            <w:tcW w:w="1621" w:type="dxa"/>
            <w:shd w:val="clear" w:color="auto" w:fill="D7D7D7"/>
            <w:vAlign w:val="center"/>
          </w:tcPr>
          <w:p w14:paraId="030AC67A" w14:textId="77777777" w:rsidR="00823A52" w:rsidRDefault="00000000">
            <w:pPr>
              <w:spacing w:line="240" w:lineRule="exact"/>
              <w:jc w:val="center"/>
              <w:rPr>
                <w:rFonts w:eastAsia="楷体"/>
                <w:b/>
                <w:bCs/>
                <w:szCs w:val="21"/>
              </w:rPr>
            </w:pPr>
            <w:r>
              <w:rPr>
                <w:rFonts w:eastAsia="楷体"/>
                <w:b/>
                <w:bCs/>
                <w:szCs w:val="21"/>
              </w:rPr>
              <w:t>产生原因</w:t>
            </w:r>
          </w:p>
        </w:tc>
        <w:tc>
          <w:tcPr>
            <w:tcW w:w="5757" w:type="dxa"/>
            <w:shd w:val="clear" w:color="auto" w:fill="D7D7D7"/>
            <w:vAlign w:val="center"/>
          </w:tcPr>
          <w:p w14:paraId="4F6CF662" w14:textId="77777777" w:rsidR="00823A52" w:rsidRDefault="00000000">
            <w:pPr>
              <w:spacing w:line="240" w:lineRule="exact"/>
              <w:jc w:val="center"/>
              <w:rPr>
                <w:rFonts w:eastAsia="楷体"/>
                <w:b/>
                <w:bCs/>
                <w:szCs w:val="21"/>
              </w:rPr>
            </w:pPr>
            <w:r>
              <w:rPr>
                <w:rFonts w:eastAsia="楷体"/>
                <w:b/>
                <w:bCs/>
                <w:szCs w:val="21"/>
              </w:rPr>
              <w:t>应对措施</w:t>
            </w:r>
          </w:p>
        </w:tc>
      </w:tr>
      <w:tr w:rsidR="00823A52" w14:paraId="0D2A4D66" w14:textId="77777777">
        <w:trPr>
          <w:trHeight w:val="566"/>
        </w:trPr>
        <w:tc>
          <w:tcPr>
            <w:tcW w:w="1082" w:type="dxa"/>
            <w:shd w:val="clear" w:color="auto" w:fill="D7D7D7"/>
            <w:vAlign w:val="center"/>
          </w:tcPr>
          <w:p w14:paraId="645D4EAE" w14:textId="77777777" w:rsidR="00823A52" w:rsidRDefault="00000000">
            <w:pPr>
              <w:spacing w:line="240" w:lineRule="exact"/>
              <w:jc w:val="center"/>
              <w:rPr>
                <w:rFonts w:eastAsia="楷体"/>
                <w:b/>
                <w:bCs/>
                <w:szCs w:val="21"/>
              </w:rPr>
            </w:pPr>
            <w:r>
              <w:rPr>
                <w:rFonts w:eastAsia="楷体"/>
                <w:b/>
                <w:bCs/>
                <w:szCs w:val="21"/>
              </w:rPr>
              <w:t>产品安全</w:t>
            </w:r>
          </w:p>
        </w:tc>
        <w:tc>
          <w:tcPr>
            <w:tcW w:w="1621" w:type="dxa"/>
            <w:vAlign w:val="center"/>
          </w:tcPr>
          <w:p w14:paraId="6AA046F2" w14:textId="77777777" w:rsidR="00823A52" w:rsidRDefault="00000000">
            <w:pPr>
              <w:spacing w:line="240" w:lineRule="exact"/>
              <w:rPr>
                <w:rFonts w:eastAsia="楷体"/>
                <w:szCs w:val="21"/>
              </w:rPr>
            </w:pPr>
            <w:r>
              <w:rPr>
                <w:rFonts w:eastAsia="楷体"/>
                <w:szCs w:val="21"/>
              </w:rPr>
              <w:t>有害物质</w:t>
            </w:r>
          </w:p>
        </w:tc>
        <w:tc>
          <w:tcPr>
            <w:tcW w:w="5757" w:type="dxa"/>
            <w:vAlign w:val="center"/>
          </w:tcPr>
          <w:p w14:paraId="21CE94AC" w14:textId="77777777" w:rsidR="00823A52" w:rsidRDefault="00000000">
            <w:pPr>
              <w:spacing w:line="240" w:lineRule="exact"/>
              <w:rPr>
                <w:rFonts w:eastAsia="楷体"/>
                <w:szCs w:val="21"/>
              </w:rPr>
            </w:pPr>
            <w:r>
              <w:rPr>
                <w:rFonts w:eastAsia="楷体"/>
                <w:szCs w:val="21"/>
              </w:rPr>
              <w:t>杜绝使用有害身体健康、有害环境安全的物质和材料。</w:t>
            </w:r>
          </w:p>
        </w:tc>
      </w:tr>
      <w:tr w:rsidR="00823A52" w14:paraId="6875D079" w14:textId="77777777">
        <w:trPr>
          <w:trHeight w:val="1399"/>
        </w:trPr>
        <w:tc>
          <w:tcPr>
            <w:tcW w:w="1082" w:type="dxa"/>
            <w:shd w:val="clear" w:color="auto" w:fill="D7D7D7"/>
            <w:vAlign w:val="center"/>
          </w:tcPr>
          <w:p w14:paraId="2AE7FD66" w14:textId="77777777" w:rsidR="00823A52" w:rsidRDefault="00000000">
            <w:pPr>
              <w:spacing w:line="240" w:lineRule="exact"/>
              <w:jc w:val="center"/>
              <w:rPr>
                <w:rFonts w:eastAsia="楷体"/>
                <w:b/>
                <w:bCs/>
                <w:szCs w:val="21"/>
              </w:rPr>
            </w:pPr>
            <w:r>
              <w:rPr>
                <w:rFonts w:eastAsia="楷体"/>
                <w:b/>
                <w:bCs/>
                <w:szCs w:val="21"/>
              </w:rPr>
              <w:t>环境</w:t>
            </w:r>
          </w:p>
          <w:p w14:paraId="20F10680" w14:textId="77777777" w:rsidR="00823A52" w:rsidRDefault="00000000">
            <w:pPr>
              <w:spacing w:line="240" w:lineRule="exact"/>
              <w:jc w:val="center"/>
              <w:rPr>
                <w:rFonts w:eastAsia="楷体"/>
                <w:b/>
                <w:bCs/>
                <w:szCs w:val="21"/>
              </w:rPr>
            </w:pPr>
            <w:r>
              <w:rPr>
                <w:rFonts w:eastAsia="楷体"/>
                <w:b/>
                <w:bCs/>
                <w:szCs w:val="21"/>
              </w:rPr>
              <w:t>污染</w:t>
            </w:r>
          </w:p>
        </w:tc>
        <w:tc>
          <w:tcPr>
            <w:tcW w:w="1621" w:type="dxa"/>
            <w:vAlign w:val="center"/>
          </w:tcPr>
          <w:p w14:paraId="59932B2C" w14:textId="77777777" w:rsidR="00823A52" w:rsidRDefault="00000000">
            <w:pPr>
              <w:spacing w:line="240" w:lineRule="exact"/>
              <w:rPr>
                <w:rFonts w:eastAsia="楷体"/>
                <w:szCs w:val="21"/>
              </w:rPr>
            </w:pPr>
            <w:r>
              <w:rPr>
                <w:rFonts w:eastAsia="楷体"/>
                <w:szCs w:val="21"/>
              </w:rPr>
              <w:t>废水、废气、噪音、固体废弃物等会对周边环境带来污染。</w:t>
            </w:r>
          </w:p>
        </w:tc>
        <w:tc>
          <w:tcPr>
            <w:tcW w:w="5757" w:type="dxa"/>
            <w:vAlign w:val="center"/>
          </w:tcPr>
          <w:p w14:paraId="7DEC2C8B" w14:textId="77777777" w:rsidR="00823A52" w:rsidRDefault="00000000">
            <w:pPr>
              <w:spacing w:line="240" w:lineRule="exact"/>
              <w:rPr>
                <w:rFonts w:eastAsia="楷体"/>
                <w:szCs w:val="21"/>
              </w:rPr>
            </w:pPr>
            <w:r>
              <w:rPr>
                <w:rFonts w:eastAsia="楷体"/>
                <w:szCs w:val="21"/>
              </w:rPr>
              <w:t>对环境会带来污染的烟尘严格执行除尘系统净化达标后排放；冷却用水系统实行与周边隔离的独立循环系统，实现零排放；废渣铁固体废弃物采用集中处理分类回收再利用；造型用砂实现了</w:t>
            </w:r>
            <w:r>
              <w:rPr>
                <w:rFonts w:eastAsia="楷体"/>
                <w:szCs w:val="21"/>
              </w:rPr>
              <w:t>100%</w:t>
            </w:r>
            <w:r>
              <w:rPr>
                <w:rFonts w:eastAsia="楷体"/>
                <w:szCs w:val="21"/>
              </w:rPr>
              <w:t>回收再利用。</w:t>
            </w:r>
          </w:p>
        </w:tc>
      </w:tr>
      <w:tr w:rsidR="00823A52" w14:paraId="73792FBA" w14:textId="77777777">
        <w:trPr>
          <w:trHeight w:val="844"/>
        </w:trPr>
        <w:tc>
          <w:tcPr>
            <w:tcW w:w="1082" w:type="dxa"/>
            <w:shd w:val="clear" w:color="auto" w:fill="D7D7D7"/>
            <w:vAlign w:val="center"/>
          </w:tcPr>
          <w:p w14:paraId="0ACB9517" w14:textId="77777777" w:rsidR="00823A52" w:rsidRDefault="00000000">
            <w:pPr>
              <w:spacing w:line="240" w:lineRule="exact"/>
              <w:jc w:val="center"/>
              <w:rPr>
                <w:rFonts w:eastAsia="楷体"/>
                <w:b/>
                <w:bCs/>
                <w:szCs w:val="21"/>
              </w:rPr>
            </w:pPr>
            <w:r>
              <w:rPr>
                <w:rFonts w:eastAsia="楷体"/>
                <w:b/>
                <w:bCs/>
                <w:szCs w:val="21"/>
              </w:rPr>
              <w:t>能源消耗</w:t>
            </w:r>
          </w:p>
        </w:tc>
        <w:tc>
          <w:tcPr>
            <w:tcW w:w="1621" w:type="dxa"/>
            <w:vAlign w:val="center"/>
          </w:tcPr>
          <w:p w14:paraId="3F2352BF" w14:textId="119D8DDE" w:rsidR="00823A52" w:rsidRDefault="00000000">
            <w:pPr>
              <w:spacing w:line="240" w:lineRule="exact"/>
              <w:rPr>
                <w:rFonts w:eastAsia="楷体"/>
                <w:szCs w:val="21"/>
              </w:rPr>
            </w:pPr>
            <w:r>
              <w:rPr>
                <w:rFonts w:eastAsia="楷体"/>
                <w:szCs w:val="21"/>
              </w:rPr>
              <w:t>水、电、蒸汽消耗。</w:t>
            </w:r>
          </w:p>
        </w:tc>
        <w:tc>
          <w:tcPr>
            <w:tcW w:w="5757" w:type="dxa"/>
            <w:vAlign w:val="center"/>
          </w:tcPr>
          <w:p w14:paraId="492A367D" w14:textId="77777777" w:rsidR="00823A52" w:rsidRDefault="00000000">
            <w:pPr>
              <w:spacing w:line="240" w:lineRule="exact"/>
              <w:rPr>
                <w:rFonts w:eastAsia="楷体"/>
                <w:szCs w:val="21"/>
              </w:rPr>
            </w:pPr>
            <w:r>
              <w:rPr>
                <w:rFonts w:eastAsia="楷体"/>
                <w:szCs w:val="21"/>
              </w:rPr>
              <w:t>严格杜绝跑、冒、滴漏现象，自觉抵制长明灯、无人灯，做到随用随开、随</w:t>
            </w:r>
            <w:proofErr w:type="gramStart"/>
            <w:r>
              <w:rPr>
                <w:rFonts w:eastAsia="楷体"/>
                <w:szCs w:val="21"/>
              </w:rPr>
              <w:t>停随闭</w:t>
            </w:r>
            <w:proofErr w:type="gramEnd"/>
            <w:r>
              <w:rPr>
                <w:rFonts w:eastAsia="楷体"/>
                <w:szCs w:val="21"/>
              </w:rPr>
              <w:t>，响应国家峰谷用电政策。</w:t>
            </w:r>
          </w:p>
        </w:tc>
      </w:tr>
      <w:tr w:rsidR="00823A52" w14:paraId="68A4C57E" w14:textId="77777777">
        <w:trPr>
          <w:trHeight w:val="824"/>
        </w:trPr>
        <w:tc>
          <w:tcPr>
            <w:tcW w:w="1082" w:type="dxa"/>
            <w:shd w:val="clear" w:color="auto" w:fill="D7D7D7"/>
            <w:vAlign w:val="center"/>
          </w:tcPr>
          <w:p w14:paraId="0B28D601" w14:textId="77777777" w:rsidR="00823A52" w:rsidRDefault="00000000">
            <w:pPr>
              <w:spacing w:line="240" w:lineRule="exact"/>
              <w:jc w:val="center"/>
              <w:rPr>
                <w:rFonts w:eastAsia="楷体"/>
                <w:b/>
                <w:bCs/>
                <w:szCs w:val="21"/>
              </w:rPr>
            </w:pPr>
            <w:r>
              <w:rPr>
                <w:rFonts w:eastAsia="楷体"/>
                <w:b/>
                <w:bCs/>
                <w:szCs w:val="21"/>
              </w:rPr>
              <w:t>资源综合利用</w:t>
            </w:r>
          </w:p>
        </w:tc>
        <w:tc>
          <w:tcPr>
            <w:tcW w:w="1621" w:type="dxa"/>
            <w:vAlign w:val="center"/>
          </w:tcPr>
          <w:p w14:paraId="38A69957" w14:textId="77777777" w:rsidR="00823A52" w:rsidRDefault="00000000">
            <w:pPr>
              <w:spacing w:line="240" w:lineRule="exact"/>
              <w:rPr>
                <w:rFonts w:eastAsia="楷体"/>
                <w:szCs w:val="21"/>
              </w:rPr>
            </w:pPr>
            <w:r>
              <w:rPr>
                <w:rFonts w:eastAsia="楷体"/>
                <w:szCs w:val="21"/>
              </w:rPr>
              <w:t>资源紧缺</w:t>
            </w:r>
          </w:p>
        </w:tc>
        <w:tc>
          <w:tcPr>
            <w:tcW w:w="5757" w:type="dxa"/>
            <w:vAlign w:val="center"/>
          </w:tcPr>
          <w:p w14:paraId="6A556230" w14:textId="77777777" w:rsidR="00823A52" w:rsidRDefault="00000000">
            <w:pPr>
              <w:spacing w:line="240" w:lineRule="exact"/>
              <w:rPr>
                <w:rFonts w:eastAsia="楷体"/>
                <w:szCs w:val="21"/>
              </w:rPr>
            </w:pPr>
            <w:r>
              <w:rPr>
                <w:rFonts w:eastAsia="楷体"/>
                <w:szCs w:val="21"/>
              </w:rPr>
              <w:t>严格自产加工产品废钢</w:t>
            </w:r>
            <w:proofErr w:type="gramStart"/>
            <w:r>
              <w:rPr>
                <w:rFonts w:eastAsia="楷体"/>
                <w:szCs w:val="21"/>
              </w:rPr>
              <w:t>屑</w:t>
            </w:r>
            <w:proofErr w:type="gramEnd"/>
            <w:r>
              <w:rPr>
                <w:rFonts w:eastAsia="楷体"/>
                <w:szCs w:val="21"/>
              </w:rPr>
              <w:t>分类管理，做到废料合金</w:t>
            </w:r>
            <w:r>
              <w:rPr>
                <w:rFonts w:eastAsia="楷体"/>
                <w:szCs w:val="21"/>
              </w:rPr>
              <w:t>100%</w:t>
            </w:r>
            <w:r>
              <w:rPr>
                <w:rFonts w:eastAsia="楷体"/>
                <w:szCs w:val="21"/>
              </w:rPr>
              <w:t>回收利用。</w:t>
            </w:r>
          </w:p>
        </w:tc>
      </w:tr>
      <w:tr w:rsidR="00823A52" w14:paraId="63C88F7B" w14:textId="77777777">
        <w:trPr>
          <w:trHeight w:val="1255"/>
        </w:trPr>
        <w:tc>
          <w:tcPr>
            <w:tcW w:w="1082" w:type="dxa"/>
            <w:shd w:val="clear" w:color="auto" w:fill="D7D7D7"/>
            <w:vAlign w:val="center"/>
          </w:tcPr>
          <w:p w14:paraId="14396EDC" w14:textId="77777777" w:rsidR="00823A52" w:rsidRDefault="00000000">
            <w:pPr>
              <w:spacing w:line="240" w:lineRule="exact"/>
              <w:jc w:val="center"/>
              <w:rPr>
                <w:rFonts w:eastAsia="楷体"/>
                <w:b/>
                <w:bCs/>
                <w:szCs w:val="21"/>
              </w:rPr>
            </w:pPr>
            <w:r>
              <w:rPr>
                <w:rFonts w:eastAsia="楷体"/>
                <w:b/>
                <w:bCs/>
                <w:szCs w:val="21"/>
              </w:rPr>
              <w:t>安全生产</w:t>
            </w:r>
          </w:p>
        </w:tc>
        <w:tc>
          <w:tcPr>
            <w:tcW w:w="1621" w:type="dxa"/>
            <w:vAlign w:val="center"/>
          </w:tcPr>
          <w:p w14:paraId="7A5E999A" w14:textId="77777777" w:rsidR="00823A52" w:rsidRDefault="00000000">
            <w:pPr>
              <w:spacing w:line="240" w:lineRule="exact"/>
              <w:rPr>
                <w:rFonts w:eastAsia="楷体"/>
                <w:szCs w:val="21"/>
              </w:rPr>
            </w:pPr>
            <w:r>
              <w:rPr>
                <w:rFonts w:eastAsia="楷体"/>
                <w:szCs w:val="21"/>
              </w:rPr>
              <w:t>火警、火灾事故会对周边居民生活带来影响。</w:t>
            </w:r>
          </w:p>
        </w:tc>
        <w:tc>
          <w:tcPr>
            <w:tcW w:w="5757" w:type="dxa"/>
            <w:vAlign w:val="center"/>
          </w:tcPr>
          <w:p w14:paraId="1A37A52E" w14:textId="77777777" w:rsidR="00823A52" w:rsidRDefault="00000000">
            <w:pPr>
              <w:spacing w:line="240" w:lineRule="exact"/>
              <w:rPr>
                <w:rFonts w:eastAsia="楷体"/>
                <w:szCs w:val="21"/>
              </w:rPr>
            </w:pPr>
            <w:r>
              <w:rPr>
                <w:rFonts w:eastAsia="楷体"/>
                <w:szCs w:val="21"/>
              </w:rPr>
              <w:t>安全生产以预防为主，从源头抓起，从制度层面到每一个作业环节，杜绝安全隐患源，从领导到员工人人关心安全，抵制不安全行为，杜绝安全事故发生。同时做到突发事件应急预案，实现事故为零。</w:t>
            </w:r>
          </w:p>
        </w:tc>
      </w:tr>
      <w:tr w:rsidR="00823A52" w14:paraId="32F02A96" w14:textId="77777777">
        <w:trPr>
          <w:trHeight w:val="1433"/>
        </w:trPr>
        <w:tc>
          <w:tcPr>
            <w:tcW w:w="1082" w:type="dxa"/>
            <w:shd w:val="clear" w:color="auto" w:fill="D7D7D7"/>
            <w:vAlign w:val="center"/>
          </w:tcPr>
          <w:p w14:paraId="20353D40" w14:textId="77777777" w:rsidR="00823A52" w:rsidRDefault="00000000">
            <w:pPr>
              <w:spacing w:line="240" w:lineRule="exact"/>
              <w:jc w:val="center"/>
              <w:rPr>
                <w:rFonts w:eastAsia="楷体"/>
                <w:b/>
                <w:bCs/>
                <w:szCs w:val="21"/>
              </w:rPr>
            </w:pPr>
            <w:r>
              <w:rPr>
                <w:rFonts w:eastAsia="楷体"/>
                <w:b/>
                <w:bCs/>
                <w:szCs w:val="21"/>
              </w:rPr>
              <w:t>公共</w:t>
            </w:r>
          </w:p>
          <w:p w14:paraId="357B7261" w14:textId="77777777" w:rsidR="00823A52" w:rsidRDefault="00000000">
            <w:pPr>
              <w:spacing w:line="240" w:lineRule="exact"/>
              <w:jc w:val="center"/>
              <w:rPr>
                <w:rFonts w:eastAsia="楷体"/>
                <w:b/>
                <w:bCs/>
                <w:szCs w:val="21"/>
              </w:rPr>
            </w:pPr>
            <w:r>
              <w:rPr>
                <w:rFonts w:eastAsia="楷体"/>
                <w:b/>
                <w:bCs/>
                <w:szCs w:val="21"/>
              </w:rPr>
              <w:t>卫生</w:t>
            </w:r>
          </w:p>
        </w:tc>
        <w:tc>
          <w:tcPr>
            <w:tcW w:w="1621" w:type="dxa"/>
            <w:vAlign w:val="center"/>
          </w:tcPr>
          <w:p w14:paraId="5BDFBA92" w14:textId="77777777" w:rsidR="00823A52" w:rsidRDefault="00000000">
            <w:pPr>
              <w:spacing w:line="240" w:lineRule="exact"/>
              <w:rPr>
                <w:rFonts w:eastAsia="楷体"/>
                <w:szCs w:val="21"/>
              </w:rPr>
            </w:pPr>
            <w:r>
              <w:rPr>
                <w:rFonts w:eastAsia="楷体"/>
                <w:szCs w:val="21"/>
              </w:rPr>
              <w:t>生活垃圾、</w:t>
            </w:r>
            <w:proofErr w:type="gramStart"/>
            <w:r>
              <w:rPr>
                <w:rFonts w:eastAsia="楷体"/>
                <w:szCs w:val="21"/>
              </w:rPr>
              <w:t>固废等会</w:t>
            </w:r>
            <w:proofErr w:type="gramEnd"/>
            <w:r>
              <w:rPr>
                <w:rFonts w:eastAsia="楷体"/>
                <w:szCs w:val="21"/>
              </w:rPr>
              <w:t>影响员工健康与环境</w:t>
            </w:r>
          </w:p>
        </w:tc>
        <w:tc>
          <w:tcPr>
            <w:tcW w:w="5757" w:type="dxa"/>
            <w:vAlign w:val="center"/>
          </w:tcPr>
          <w:p w14:paraId="310549E2" w14:textId="77777777" w:rsidR="00823A52" w:rsidRDefault="00000000">
            <w:pPr>
              <w:spacing w:line="240" w:lineRule="exact"/>
              <w:rPr>
                <w:rFonts w:eastAsia="楷体"/>
                <w:szCs w:val="21"/>
              </w:rPr>
            </w:pPr>
            <w:r>
              <w:rPr>
                <w:rFonts w:eastAsia="楷体"/>
                <w:szCs w:val="21"/>
              </w:rPr>
              <w:t>推行自查自纠为主，环境卫生无死角，生活垃圾废弃物分类存放，</w:t>
            </w:r>
            <w:r>
              <w:rPr>
                <w:rFonts w:eastAsia="楷体"/>
                <w:szCs w:val="21"/>
              </w:rPr>
              <w:t>HSE</w:t>
            </w:r>
            <w:r>
              <w:rPr>
                <w:rFonts w:eastAsia="楷体"/>
                <w:szCs w:val="21"/>
              </w:rPr>
              <w:t>检查做到每天有检查、当天整改有提高，奖惩及时兑现；社会监督为辅，自觉接受社会监督，定期听取周边社区、政府部门意见，不断改进提高。</w:t>
            </w:r>
          </w:p>
        </w:tc>
      </w:tr>
    </w:tbl>
    <w:p w14:paraId="429E7AE8" w14:textId="77777777" w:rsidR="00823A52" w:rsidRDefault="00823A52">
      <w:pPr>
        <w:spacing w:line="360" w:lineRule="auto"/>
        <w:ind w:firstLineChars="200" w:firstLine="480"/>
        <w:rPr>
          <w:rFonts w:eastAsia="楷体"/>
          <w:sz w:val="24"/>
        </w:rPr>
      </w:pPr>
    </w:p>
    <w:p w14:paraId="54DDFBE2" w14:textId="77777777" w:rsidR="00823A52" w:rsidRDefault="00000000">
      <w:pPr>
        <w:spacing w:line="360" w:lineRule="auto"/>
        <w:ind w:firstLineChars="200" w:firstLine="482"/>
        <w:rPr>
          <w:rFonts w:eastAsia="楷体"/>
          <w:b/>
          <w:sz w:val="24"/>
        </w:rPr>
      </w:pPr>
      <w:r>
        <w:rPr>
          <w:rFonts w:eastAsia="楷体"/>
          <w:b/>
          <w:sz w:val="24"/>
        </w:rPr>
        <w:t>(3)</w:t>
      </w:r>
      <w:r>
        <w:rPr>
          <w:rFonts w:eastAsia="楷体"/>
          <w:b/>
          <w:sz w:val="24"/>
        </w:rPr>
        <w:t>识别和评估相关风险，在合法合</w:t>
      </w:r>
      <w:proofErr w:type="gramStart"/>
      <w:r>
        <w:rPr>
          <w:rFonts w:eastAsia="楷体"/>
          <w:b/>
          <w:sz w:val="24"/>
        </w:rPr>
        <w:t>规</w:t>
      </w:r>
      <w:proofErr w:type="gramEnd"/>
      <w:r>
        <w:rPr>
          <w:rFonts w:eastAsia="楷体"/>
          <w:b/>
          <w:sz w:val="24"/>
        </w:rPr>
        <w:t>的基础上持续提升</w:t>
      </w:r>
    </w:p>
    <w:p w14:paraId="6314F2A1" w14:textId="77777777" w:rsidR="00823A52" w:rsidRDefault="00000000">
      <w:pPr>
        <w:spacing w:line="360" w:lineRule="auto"/>
        <w:ind w:firstLineChars="200" w:firstLine="480"/>
        <w:rPr>
          <w:rFonts w:eastAsia="楷体"/>
          <w:sz w:val="24"/>
        </w:rPr>
      </w:pPr>
      <w:r>
        <w:rPr>
          <w:rFonts w:eastAsia="楷体" w:hint="eastAsia"/>
          <w:sz w:val="24"/>
        </w:rPr>
        <w:t>公司</w:t>
      </w:r>
      <w:r>
        <w:rPr>
          <w:rFonts w:eastAsia="楷体"/>
          <w:sz w:val="24"/>
        </w:rPr>
        <w:t>高层将法律、法规作为必须条件和最低要求的同时，深刻认识到肩负的社会责任的意义，在识别和评估相关风险的基础上，建立遵循法律法规要求和应对相关风险的关键过程及绩效指标，制定预防、控制程序和改进方案，在持续改进的基础上达到更高水平。</w:t>
      </w:r>
    </w:p>
    <w:p w14:paraId="35ACE90C" w14:textId="77777777" w:rsidR="00823A52" w:rsidRDefault="00000000">
      <w:pPr>
        <w:spacing w:line="360" w:lineRule="auto"/>
        <w:ind w:firstLineChars="200" w:firstLine="480"/>
        <w:rPr>
          <w:rFonts w:eastAsia="楷体"/>
          <w:sz w:val="24"/>
        </w:rPr>
      </w:pPr>
      <w:r>
        <w:rPr>
          <w:rFonts w:eastAsia="楷体"/>
          <w:sz w:val="24"/>
        </w:rPr>
        <w:t>以节能减排、保护环境为例：</w:t>
      </w:r>
      <w:r>
        <w:rPr>
          <w:rFonts w:eastAsia="楷体" w:hint="eastAsia"/>
          <w:sz w:val="24"/>
        </w:rPr>
        <w:t>公司</w:t>
      </w:r>
      <w:r>
        <w:rPr>
          <w:rFonts w:eastAsia="楷体"/>
          <w:sz w:val="24"/>
        </w:rPr>
        <w:t>在严格执行</w:t>
      </w:r>
      <w:r>
        <w:rPr>
          <w:rFonts w:eastAsia="楷体"/>
          <w:sz w:val="24"/>
        </w:rPr>
        <w:t>“</w:t>
      </w:r>
      <w:r>
        <w:rPr>
          <w:rFonts w:eastAsia="楷体"/>
          <w:sz w:val="24"/>
        </w:rPr>
        <w:t>环境影响评价</w:t>
      </w:r>
      <w:r>
        <w:rPr>
          <w:rFonts w:eastAsia="楷体"/>
          <w:sz w:val="24"/>
        </w:rPr>
        <w:t>”</w:t>
      </w:r>
      <w:r>
        <w:rPr>
          <w:rFonts w:eastAsia="楷体"/>
          <w:sz w:val="24"/>
        </w:rPr>
        <w:t>和环保</w:t>
      </w:r>
      <w:r>
        <w:rPr>
          <w:rFonts w:eastAsia="楷体"/>
          <w:sz w:val="24"/>
        </w:rPr>
        <w:t>“</w:t>
      </w:r>
      <w:r>
        <w:rPr>
          <w:rFonts w:eastAsia="楷体"/>
          <w:sz w:val="24"/>
        </w:rPr>
        <w:t>三同时</w:t>
      </w:r>
      <w:r>
        <w:rPr>
          <w:rFonts w:eastAsia="楷体"/>
          <w:sz w:val="24"/>
        </w:rPr>
        <w:t>”</w:t>
      </w:r>
      <w:r>
        <w:rPr>
          <w:rFonts w:eastAsia="楷体"/>
          <w:sz w:val="24"/>
        </w:rPr>
        <w:t>制度、严格执行各项环境保护法律法规，落实环保减排、节能降耗的有关政策的同时，以</w:t>
      </w:r>
      <w:r>
        <w:rPr>
          <w:rFonts w:eastAsia="楷体"/>
          <w:sz w:val="24"/>
        </w:rPr>
        <w:t>HSE</w:t>
      </w:r>
      <w:r>
        <w:rPr>
          <w:rFonts w:eastAsia="楷体"/>
          <w:sz w:val="24"/>
        </w:rPr>
        <w:t>职业健康、安全、环境为主线，进一步改善工作环境，提高污染防治和</w:t>
      </w:r>
      <w:r>
        <w:rPr>
          <w:rFonts w:eastAsia="楷体"/>
          <w:sz w:val="24"/>
        </w:rPr>
        <w:t>“</w:t>
      </w:r>
      <w:r>
        <w:rPr>
          <w:rFonts w:eastAsia="楷体"/>
          <w:sz w:val="24"/>
        </w:rPr>
        <w:t>三废</w:t>
      </w:r>
      <w:r>
        <w:rPr>
          <w:rFonts w:eastAsia="楷体"/>
          <w:sz w:val="24"/>
        </w:rPr>
        <w:t>”</w:t>
      </w:r>
      <w:r>
        <w:rPr>
          <w:rFonts w:eastAsia="楷体"/>
          <w:sz w:val="24"/>
        </w:rPr>
        <w:t>综合利用设施的配套水平，加大环境污染治理力度，形成环境保护长效工作机制。</w:t>
      </w:r>
    </w:p>
    <w:p w14:paraId="4575540A" w14:textId="77777777" w:rsidR="00823A52" w:rsidRDefault="00000000">
      <w:pPr>
        <w:spacing w:line="360" w:lineRule="auto"/>
        <w:rPr>
          <w:rFonts w:eastAsia="楷体"/>
          <w:sz w:val="24"/>
        </w:rPr>
      </w:pPr>
      <w:r>
        <w:rPr>
          <w:rFonts w:eastAsia="楷体"/>
          <w:sz w:val="24"/>
        </w:rPr>
        <w:t>公司专门成立了</w:t>
      </w:r>
      <w:r>
        <w:rPr>
          <w:rFonts w:eastAsia="楷体"/>
          <w:sz w:val="24"/>
        </w:rPr>
        <w:t>HSE</w:t>
      </w:r>
      <w:r>
        <w:rPr>
          <w:rFonts w:eastAsia="楷体"/>
          <w:sz w:val="24"/>
        </w:rPr>
        <w:t>办公室，落实</w:t>
      </w:r>
      <w:r>
        <w:rPr>
          <w:rFonts w:eastAsia="楷体"/>
          <w:sz w:val="24"/>
        </w:rPr>
        <w:t>HSE</w:t>
      </w:r>
      <w:r>
        <w:rPr>
          <w:rFonts w:eastAsia="楷体"/>
          <w:sz w:val="24"/>
        </w:rPr>
        <w:t>职业健康、安全、环境考核奖惩制度，建立各车间能耗定额指标考核体系，大力开展节能、环保培训和宣传教育，瞄准国际一流企业标准，投入专项资金用于环境治理、新产品研发和新工艺改进工作</w:t>
      </w:r>
    </w:p>
    <w:p w14:paraId="4125E5F0" w14:textId="77777777" w:rsidR="00823A52" w:rsidRDefault="00000000">
      <w:pPr>
        <w:spacing w:line="360" w:lineRule="auto"/>
        <w:outlineLvl w:val="1"/>
        <w:rPr>
          <w:rFonts w:eastAsia="楷体"/>
          <w:b/>
          <w:sz w:val="24"/>
        </w:rPr>
      </w:pPr>
      <w:bookmarkStart w:id="28" w:name="_Toc522175454"/>
      <w:r>
        <w:rPr>
          <w:rFonts w:eastAsia="楷体"/>
          <w:b/>
          <w:sz w:val="24"/>
        </w:rPr>
        <w:lastRenderedPageBreak/>
        <w:t>2</w:t>
      </w:r>
      <w:r>
        <w:rPr>
          <w:rFonts w:eastAsia="楷体"/>
          <w:b/>
          <w:sz w:val="24"/>
        </w:rPr>
        <w:t>、道德行为</w:t>
      </w:r>
      <w:bookmarkEnd w:id="28"/>
    </w:p>
    <w:p w14:paraId="65F30E03" w14:textId="77777777" w:rsidR="00823A52" w:rsidRDefault="00000000">
      <w:pPr>
        <w:spacing w:line="360" w:lineRule="auto"/>
        <w:ind w:firstLineChars="200" w:firstLine="480"/>
        <w:rPr>
          <w:rFonts w:eastAsia="楷体"/>
          <w:sz w:val="24"/>
        </w:rPr>
      </w:pPr>
      <w:r>
        <w:rPr>
          <w:rFonts w:eastAsia="楷体"/>
          <w:sz w:val="24"/>
        </w:rPr>
        <w:t>企业道德行为是组织在决策、行动以及与利益</w:t>
      </w:r>
      <w:proofErr w:type="gramStart"/>
      <w:r>
        <w:rPr>
          <w:rFonts w:eastAsia="楷体"/>
          <w:sz w:val="24"/>
        </w:rPr>
        <w:t>相关方间交往</w:t>
      </w:r>
      <w:proofErr w:type="gramEnd"/>
      <w:r>
        <w:rPr>
          <w:rFonts w:eastAsia="楷体"/>
          <w:sz w:val="24"/>
        </w:rPr>
        <w:t>活动中，遵守道德准则和职业操守的表现。从高层领导到一般员工都应遵守道德规范，并影响组织的利益相关方。</w:t>
      </w:r>
    </w:p>
    <w:p w14:paraId="386D8386" w14:textId="77777777" w:rsidR="00823A52" w:rsidRDefault="00000000">
      <w:pPr>
        <w:spacing w:line="360" w:lineRule="auto"/>
        <w:ind w:firstLineChars="200" w:firstLine="480"/>
        <w:rPr>
          <w:rFonts w:eastAsia="楷体"/>
          <w:sz w:val="24"/>
        </w:rPr>
      </w:pPr>
      <w:r>
        <w:rPr>
          <w:rFonts w:eastAsia="楷体" w:hint="eastAsia"/>
          <w:sz w:val="24"/>
        </w:rPr>
        <w:t>公司</w:t>
      </w:r>
      <w:r>
        <w:rPr>
          <w:rFonts w:eastAsia="楷体"/>
          <w:sz w:val="24"/>
        </w:rPr>
        <w:t>高层领导从自身做起，秉承</w:t>
      </w:r>
      <w:r>
        <w:rPr>
          <w:rFonts w:eastAsia="楷体"/>
          <w:sz w:val="24"/>
        </w:rPr>
        <w:t>“</w:t>
      </w:r>
      <w:r>
        <w:rPr>
          <w:rFonts w:eastAsia="楷体"/>
          <w:sz w:val="24"/>
        </w:rPr>
        <w:t>敬业、奉献、诚信、守法、创新、务实、共赢</w:t>
      </w:r>
      <w:r>
        <w:rPr>
          <w:rFonts w:eastAsia="楷体"/>
          <w:sz w:val="24"/>
        </w:rPr>
        <w:t>”</w:t>
      </w:r>
      <w:r>
        <w:rPr>
          <w:rFonts w:eastAsia="楷体"/>
          <w:sz w:val="24"/>
        </w:rPr>
        <w:t>的价值观，在公司内外形成了良好的道德行为规范。公司建立并持续完善企业道德行为检测体系，规范管理、诚信对待顾客，公正对待供应商，形成从高层到基层、产业链由上游到下游一整套的评价体系，规范道德行为。</w:t>
      </w:r>
    </w:p>
    <w:p w14:paraId="5C5B7DE0" w14:textId="77777777" w:rsidR="00823A52" w:rsidRDefault="00000000">
      <w:pPr>
        <w:spacing w:line="360" w:lineRule="auto"/>
        <w:ind w:firstLineChars="200" w:firstLine="482"/>
        <w:rPr>
          <w:rFonts w:eastAsia="楷体"/>
          <w:b/>
          <w:sz w:val="24"/>
        </w:rPr>
      </w:pPr>
      <w:r>
        <w:rPr>
          <w:rFonts w:eastAsia="楷体"/>
          <w:b/>
          <w:sz w:val="24"/>
        </w:rPr>
        <w:t>(1)</w:t>
      </w:r>
      <w:r>
        <w:rPr>
          <w:rFonts w:eastAsia="楷体"/>
          <w:b/>
          <w:sz w:val="24"/>
        </w:rPr>
        <w:t>营造诚信守法经营环境</w:t>
      </w:r>
    </w:p>
    <w:p w14:paraId="3CF8DE2E" w14:textId="77777777" w:rsidR="00823A52" w:rsidRDefault="00000000">
      <w:pPr>
        <w:spacing w:line="360" w:lineRule="auto"/>
        <w:ind w:firstLineChars="200" w:firstLine="480"/>
        <w:rPr>
          <w:rFonts w:eastAsia="楷体"/>
          <w:sz w:val="24"/>
        </w:rPr>
      </w:pPr>
      <w:r>
        <w:rPr>
          <w:rFonts w:eastAsia="楷体"/>
          <w:sz w:val="24"/>
        </w:rPr>
        <w:t>诚信作为公司组织道德行为中的基本准则。高层领导率先垂范，在整个组织中倡导诚信、</w:t>
      </w:r>
      <w:proofErr w:type="gramStart"/>
      <w:r>
        <w:rPr>
          <w:rFonts w:eastAsia="楷体"/>
          <w:sz w:val="24"/>
        </w:rPr>
        <w:t>践行</w:t>
      </w:r>
      <w:proofErr w:type="gramEnd"/>
      <w:r>
        <w:rPr>
          <w:rFonts w:eastAsia="楷体"/>
          <w:sz w:val="24"/>
        </w:rPr>
        <w:t>诚信。</w:t>
      </w:r>
    </w:p>
    <w:p w14:paraId="32706274" w14:textId="77777777" w:rsidR="00823A52" w:rsidRDefault="00000000">
      <w:pPr>
        <w:spacing w:line="360" w:lineRule="auto"/>
        <w:ind w:firstLineChars="200" w:firstLine="482"/>
        <w:rPr>
          <w:rFonts w:eastAsia="楷体"/>
          <w:sz w:val="24"/>
        </w:rPr>
      </w:pPr>
      <w:r>
        <w:rPr>
          <w:rFonts w:eastAsia="楷体"/>
          <w:b/>
          <w:sz w:val="24"/>
        </w:rPr>
        <w:t>员工诚信守法的承诺：</w:t>
      </w:r>
      <w:r>
        <w:rPr>
          <w:rFonts w:eastAsia="楷体"/>
          <w:sz w:val="24"/>
        </w:rPr>
        <w:t>企业与所有员工签订劳动合同的同时，还签订了《基本行为规范承诺书》，对员工的职业道德、诚信守法、廉洁自律、保密等进行了严格规定。并在《企业道德行为规范监督检查与考核奖惩制度》中，对员工的诚信守法行为进行了规定：</w:t>
      </w:r>
    </w:p>
    <w:p w14:paraId="1C7DCA85" w14:textId="77777777" w:rsidR="00823A52" w:rsidRDefault="00000000">
      <w:pPr>
        <w:numPr>
          <w:ilvl w:val="0"/>
          <w:numId w:val="2"/>
        </w:numPr>
        <w:spacing w:line="360" w:lineRule="auto"/>
        <w:ind w:left="0" w:firstLineChars="200" w:firstLine="480"/>
        <w:rPr>
          <w:rFonts w:eastAsia="楷体"/>
          <w:sz w:val="24"/>
        </w:rPr>
      </w:pPr>
      <w:r>
        <w:rPr>
          <w:rFonts w:eastAsia="楷体"/>
          <w:sz w:val="24"/>
        </w:rPr>
        <w:t>在员工或其他人发生违规、违纪，损害公司利益行为时，对举证举报者或利益维护人打击报复，造成人身、精神、财产等损害的，公司将对违规违纪者予以解除劳动关系，追究其造成损害的责任；</w:t>
      </w:r>
    </w:p>
    <w:p w14:paraId="20CF03A5" w14:textId="77777777" w:rsidR="00823A52" w:rsidRDefault="00000000">
      <w:pPr>
        <w:numPr>
          <w:ilvl w:val="0"/>
          <w:numId w:val="2"/>
        </w:numPr>
        <w:spacing w:line="360" w:lineRule="auto"/>
        <w:ind w:left="0" w:firstLineChars="200" w:firstLine="480"/>
        <w:rPr>
          <w:rFonts w:eastAsia="楷体"/>
          <w:sz w:val="24"/>
        </w:rPr>
      </w:pPr>
      <w:r>
        <w:rPr>
          <w:rFonts w:eastAsia="楷体"/>
          <w:sz w:val="24"/>
        </w:rPr>
        <w:t>因渎职或过失泄漏公司生产经营或商业技术机密者，视情节程度考核</w:t>
      </w:r>
      <w:r>
        <w:rPr>
          <w:rFonts w:eastAsia="楷体"/>
          <w:sz w:val="24"/>
        </w:rPr>
        <w:t>500-5000</w:t>
      </w:r>
      <w:r>
        <w:rPr>
          <w:rFonts w:eastAsia="楷体"/>
          <w:sz w:val="24"/>
        </w:rPr>
        <w:t>元／次，对故意者予以解除劳动关系，并要求赔偿公司的遭受的经济利益损失；</w:t>
      </w:r>
    </w:p>
    <w:p w14:paraId="40CB94AD" w14:textId="77777777" w:rsidR="00823A52" w:rsidRDefault="00000000">
      <w:pPr>
        <w:numPr>
          <w:ilvl w:val="0"/>
          <w:numId w:val="2"/>
        </w:numPr>
        <w:spacing w:line="360" w:lineRule="auto"/>
        <w:ind w:left="0" w:firstLineChars="200" w:firstLine="480"/>
        <w:rPr>
          <w:rFonts w:eastAsia="楷体"/>
          <w:sz w:val="24"/>
        </w:rPr>
      </w:pPr>
      <w:r>
        <w:rPr>
          <w:rFonts w:eastAsia="楷体"/>
          <w:sz w:val="24"/>
        </w:rPr>
        <w:t>利用工作职务之便以权谋私，假公济私，侵吞公司财产者，视情节程度予以解除劳动关系，并要求赔偿公司的遭受的经济利益损失；</w:t>
      </w:r>
    </w:p>
    <w:p w14:paraId="5D13927A" w14:textId="77777777" w:rsidR="00823A52" w:rsidRDefault="00000000">
      <w:pPr>
        <w:numPr>
          <w:ilvl w:val="0"/>
          <w:numId w:val="2"/>
        </w:numPr>
        <w:spacing w:line="360" w:lineRule="auto"/>
        <w:ind w:left="0" w:firstLineChars="200" w:firstLine="480"/>
        <w:rPr>
          <w:rFonts w:eastAsia="楷体"/>
          <w:sz w:val="24"/>
        </w:rPr>
      </w:pPr>
      <w:r>
        <w:rPr>
          <w:rFonts w:eastAsia="楷体"/>
          <w:sz w:val="24"/>
        </w:rPr>
        <w:t>利用职权贪污受贿，向利益关联方索要好处，给予通报记过处理，没收收受的物品、礼券、现金等，并考核</w:t>
      </w:r>
      <w:r>
        <w:rPr>
          <w:rFonts w:eastAsia="楷体"/>
          <w:sz w:val="24"/>
        </w:rPr>
        <w:t>2</w:t>
      </w:r>
      <w:r>
        <w:rPr>
          <w:rFonts w:eastAsia="楷体"/>
          <w:sz w:val="24"/>
        </w:rPr>
        <w:t>倍于涉及金额，情节严重者予以解除劳动关系；</w:t>
      </w:r>
    </w:p>
    <w:p w14:paraId="52E74629" w14:textId="77777777" w:rsidR="00823A52" w:rsidRDefault="00000000">
      <w:pPr>
        <w:numPr>
          <w:ilvl w:val="0"/>
          <w:numId w:val="2"/>
        </w:numPr>
        <w:spacing w:line="360" w:lineRule="auto"/>
        <w:ind w:left="0" w:firstLineChars="200" w:firstLine="480"/>
        <w:rPr>
          <w:rFonts w:eastAsia="楷体"/>
          <w:sz w:val="24"/>
        </w:rPr>
      </w:pPr>
      <w:r>
        <w:rPr>
          <w:rFonts w:eastAsia="楷体"/>
          <w:sz w:val="24"/>
        </w:rPr>
        <w:t>对故意损坏公司重要文件或公物者，予以解除劳动关系，并要求赔偿公司的遭受的经济损失；</w:t>
      </w:r>
    </w:p>
    <w:p w14:paraId="0D7B65B2" w14:textId="77777777" w:rsidR="00823A52" w:rsidRDefault="00000000">
      <w:pPr>
        <w:numPr>
          <w:ilvl w:val="0"/>
          <w:numId w:val="2"/>
        </w:numPr>
        <w:spacing w:line="360" w:lineRule="auto"/>
        <w:ind w:left="0" w:firstLineChars="200" w:firstLine="480"/>
        <w:rPr>
          <w:rFonts w:eastAsia="楷体"/>
          <w:sz w:val="24"/>
        </w:rPr>
      </w:pPr>
      <w:r>
        <w:rPr>
          <w:rFonts w:eastAsia="楷体"/>
          <w:sz w:val="24"/>
        </w:rPr>
        <w:t>对故意制造事故、工伤骗取赔偿，进行敲诈勒索者，予以解除劳动关系；</w:t>
      </w:r>
    </w:p>
    <w:p w14:paraId="51F90620" w14:textId="77777777" w:rsidR="00823A52" w:rsidRDefault="00000000">
      <w:pPr>
        <w:numPr>
          <w:ilvl w:val="0"/>
          <w:numId w:val="2"/>
        </w:numPr>
        <w:spacing w:line="360" w:lineRule="auto"/>
        <w:ind w:left="0" w:firstLineChars="200" w:firstLine="480"/>
        <w:rPr>
          <w:rFonts w:eastAsia="楷体"/>
          <w:sz w:val="24"/>
        </w:rPr>
      </w:pPr>
      <w:r>
        <w:rPr>
          <w:rFonts w:eastAsia="楷体"/>
          <w:sz w:val="24"/>
        </w:rPr>
        <w:lastRenderedPageBreak/>
        <w:t>使用虚假证件、资质，冒名顶替，隐瞒自身重要情况（如犯罪、吸毒、参与非法组织、患有严重疾病）的，一旦发现立即解除劳动关系；</w:t>
      </w:r>
    </w:p>
    <w:p w14:paraId="596CD6C2" w14:textId="77777777" w:rsidR="00823A52" w:rsidRDefault="00000000">
      <w:pPr>
        <w:numPr>
          <w:ilvl w:val="0"/>
          <w:numId w:val="2"/>
        </w:numPr>
        <w:spacing w:line="360" w:lineRule="auto"/>
        <w:ind w:left="0" w:firstLineChars="200" w:firstLine="480"/>
        <w:rPr>
          <w:rFonts w:eastAsia="楷体"/>
          <w:sz w:val="24"/>
        </w:rPr>
      </w:pPr>
      <w:r>
        <w:rPr>
          <w:rFonts w:eastAsia="楷体"/>
          <w:sz w:val="24"/>
        </w:rPr>
        <w:t>对道德败坏，通过威胁、诽谤、侮辱、调戏、骚扰等方式妨碍他人，给予通报记过处理外，考核</w:t>
      </w:r>
      <w:r>
        <w:rPr>
          <w:rFonts w:eastAsia="楷体"/>
          <w:sz w:val="24"/>
        </w:rPr>
        <w:t>200-500</w:t>
      </w:r>
      <w:r>
        <w:rPr>
          <w:rFonts w:eastAsia="楷体"/>
          <w:sz w:val="24"/>
        </w:rPr>
        <w:t>元／次，情节严重者予以解除劳动关系；</w:t>
      </w:r>
    </w:p>
    <w:p w14:paraId="3F77C836" w14:textId="77777777" w:rsidR="00823A52" w:rsidRDefault="00000000">
      <w:pPr>
        <w:numPr>
          <w:ilvl w:val="0"/>
          <w:numId w:val="2"/>
        </w:numPr>
        <w:spacing w:line="360" w:lineRule="auto"/>
        <w:ind w:left="0" w:firstLineChars="200" w:firstLine="480"/>
        <w:rPr>
          <w:rFonts w:eastAsia="楷体"/>
          <w:sz w:val="24"/>
        </w:rPr>
      </w:pPr>
      <w:r>
        <w:rPr>
          <w:rFonts w:eastAsia="楷体"/>
          <w:sz w:val="24"/>
        </w:rPr>
        <w:t>对怂恿员工怠工或罢工，造谣惑众、恣意闹事、诋毁公司声誉者，予以解除劳动关系；</w:t>
      </w:r>
    </w:p>
    <w:p w14:paraId="7148A37E" w14:textId="77777777" w:rsidR="00823A52" w:rsidRDefault="00000000">
      <w:pPr>
        <w:numPr>
          <w:ilvl w:val="0"/>
          <w:numId w:val="2"/>
        </w:numPr>
        <w:spacing w:line="360" w:lineRule="auto"/>
        <w:ind w:left="0" w:firstLineChars="200" w:firstLine="480"/>
        <w:rPr>
          <w:rFonts w:eastAsia="楷体"/>
          <w:sz w:val="24"/>
        </w:rPr>
      </w:pPr>
      <w:r>
        <w:rPr>
          <w:rFonts w:eastAsia="楷体"/>
          <w:sz w:val="24"/>
        </w:rPr>
        <w:t>对偷盗工厂物资者，处以</w:t>
      </w:r>
      <w:r>
        <w:rPr>
          <w:rFonts w:eastAsia="楷体"/>
          <w:sz w:val="24"/>
        </w:rPr>
        <w:t>2</w:t>
      </w:r>
      <w:r>
        <w:rPr>
          <w:rFonts w:eastAsia="楷体"/>
          <w:sz w:val="24"/>
        </w:rPr>
        <w:t>倍罚款，并予以解除劳动关系。对行为恶劣触犯法律的，提交公安司法部门处理；</w:t>
      </w:r>
    </w:p>
    <w:p w14:paraId="0AB51DDA" w14:textId="77777777" w:rsidR="00823A52" w:rsidRDefault="00000000">
      <w:pPr>
        <w:numPr>
          <w:ilvl w:val="0"/>
          <w:numId w:val="2"/>
        </w:numPr>
        <w:spacing w:line="360" w:lineRule="auto"/>
        <w:ind w:left="0" w:firstLineChars="200" w:firstLine="480"/>
        <w:rPr>
          <w:rFonts w:eastAsia="楷体"/>
          <w:sz w:val="24"/>
        </w:rPr>
      </w:pPr>
      <w:r>
        <w:rPr>
          <w:rFonts w:eastAsia="楷体"/>
          <w:sz w:val="24"/>
        </w:rPr>
        <w:t>涉嫌违法犯罪的交司法部门追究法律责任。。</w:t>
      </w:r>
    </w:p>
    <w:p w14:paraId="6146D816" w14:textId="77777777" w:rsidR="00823A52" w:rsidRDefault="00000000">
      <w:pPr>
        <w:spacing w:line="360" w:lineRule="auto"/>
        <w:ind w:firstLineChars="200" w:firstLine="482"/>
        <w:rPr>
          <w:rFonts w:eastAsia="楷体"/>
          <w:sz w:val="24"/>
        </w:rPr>
      </w:pPr>
      <w:r>
        <w:rPr>
          <w:rFonts w:eastAsia="楷体"/>
          <w:b/>
          <w:sz w:val="24"/>
        </w:rPr>
        <w:t>供应商管理：</w:t>
      </w:r>
      <w:r>
        <w:rPr>
          <w:rFonts w:eastAsia="楷体"/>
          <w:sz w:val="24"/>
        </w:rPr>
        <w:t>公司在与供应商签订格式条款采购合同时，本着公平公正的原则，充分保障供应商和公司的合理利益。公司建立了严格的供应商评价制度，对新供应商的资质、诚信记录、质量等进行严格的审查。每年对所有供应商的诚信情况进行评估，对出现诚信问题的供应</w:t>
      </w:r>
      <w:proofErr w:type="gramStart"/>
      <w:r>
        <w:rPr>
          <w:rFonts w:eastAsia="楷体"/>
          <w:sz w:val="24"/>
        </w:rPr>
        <w:t>商予以</w:t>
      </w:r>
      <w:proofErr w:type="gramEnd"/>
      <w:r>
        <w:rPr>
          <w:rFonts w:eastAsia="楷体"/>
          <w:sz w:val="24"/>
        </w:rPr>
        <w:t>淘汰或处罚。</w:t>
      </w:r>
    </w:p>
    <w:p w14:paraId="75DC9E0E" w14:textId="77777777" w:rsidR="00823A52" w:rsidRDefault="00000000">
      <w:pPr>
        <w:spacing w:line="360" w:lineRule="auto"/>
        <w:ind w:firstLineChars="200" w:firstLine="482"/>
        <w:rPr>
          <w:rFonts w:eastAsia="楷体"/>
          <w:sz w:val="24"/>
        </w:rPr>
      </w:pPr>
      <w:r>
        <w:rPr>
          <w:rFonts w:eastAsia="楷体"/>
          <w:b/>
          <w:sz w:val="24"/>
        </w:rPr>
        <w:t>客户合同管理：</w:t>
      </w:r>
      <w:r>
        <w:rPr>
          <w:rFonts w:eastAsia="楷体"/>
          <w:sz w:val="24"/>
        </w:rPr>
        <w:t>公司对客户以诚信、公平、守法为原则，制订并认真执行《采购合同流程》，对涉及的商务、技术等相关条款由相关部门进行相应的技术和商务评审，并由对口分管领导签批，确保公司和客户的利益不受损害。</w:t>
      </w:r>
    </w:p>
    <w:p w14:paraId="2BA865AA" w14:textId="77777777" w:rsidR="00823A52" w:rsidRDefault="00000000">
      <w:pPr>
        <w:spacing w:line="360" w:lineRule="auto"/>
        <w:ind w:firstLineChars="200" w:firstLine="482"/>
        <w:rPr>
          <w:rFonts w:eastAsia="楷体"/>
          <w:b/>
          <w:sz w:val="24"/>
        </w:rPr>
      </w:pPr>
      <w:r>
        <w:rPr>
          <w:rFonts w:eastAsia="楷体"/>
          <w:b/>
          <w:sz w:val="24"/>
        </w:rPr>
        <w:t>(2)</w:t>
      </w:r>
      <w:r>
        <w:rPr>
          <w:rFonts w:eastAsia="楷体"/>
          <w:b/>
          <w:sz w:val="24"/>
        </w:rPr>
        <w:t>道德规范的监测</w:t>
      </w:r>
    </w:p>
    <w:p w14:paraId="7650F7DB" w14:textId="77777777" w:rsidR="00823A52" w:rsidRDefault="00000000">
      <w:pPr>
        <w:spacing w:line="360" w:lineRule="auto"/>
        <w:ind w:firstLineChars="200" w:firstLine="480"/>
        <w:rPr>
          <w:rFonts w:eastAsia="楷体"/>
          <w:sz w:val="24"/>
        </w:rPr>
      </w:pPr>
      <w:r>
        <w:rPr>
          <w:rFonts w:eastAsia="楷体"/>
          <w:sz w:val="24"/>
        </w:rPr>
        <w:t>企业日常运营中的道德行为主要表现为：企业内部对投资方、领导及员工负责；在企业间对供应商及合作伙伴负责；企业外部对客户、政府和社会负责。公司的道德行为融入了公司运营的每个环节，最终凝聚为公司的企业文化。</w:t>
      </w:r>
    </w:p>
    <w:p w14:paraId="1B41893E" w14:textId="77777777" w:rsidR="00823A52" w:rsidRDefault="00000000">
      <w:pPr>
        <w:spacing w:line="360" w:lineRule="auto"/>
        <w:ind w:firstLineChars="200" w:firstLine="480"/>
        <w:rPr>
          <w:rFonts w:eastAsia="楷体"/>
          <w:sz w:val="24"/>
        </w:rPr>
      </w:pPr>
      <w:r>
        <w:rPr>
          <w:rFonts w:eastAsia="楷体"/>
          <w:sz w:val="24"/>
        </w:rPr>
        <w:t>公司倡导诚信经营，在质量安全、节能环保、纳税等方面，严格遵守法律法规、行业标准以及客户要求等道德规范，主动接受员工、投资人、客户、社会各方的监督、监测，经得起时间与各方的</w:t>
      </w:r>
      <w:proofErr w:type="gramStart"/>
      <w:r>
        <w:rPr>
          <w:rFonts w:eastAsia="楷体"/>
          <w:sz w:val="24"/>
        </w:rPr>
        <w:t>考量</w:t>
      </w:r>
      <w:proofErr w:type="gramEnd"/>
      <w:r>
        <w:rPr>
          <w:rFonts w:eastAsia="楷体"/>
          <w:sz w:val="24"/>
        </w:rPr>
        <w:t>。</w:t>
      </w:r>
    </w:p>
    <w:p w14:paraId="3C3ACC97" w14:textId="77777777" w:rsidR="00823A52" w:rsidRDefault="00000000">
      <w:pPr>
        <w:pStyle w:val="a8"/>
        <w:numPr>
          <w:ilvl w:val="0"/>
          <w:numId w:val="3"/>
        </w:numPr>
        <w:ind w:left="641" w:firstLineChars="0" w:hanging="357"/>
        <w:outlineLvl w:val="1"/>
        <w:rPr>
          <w:rFonts w:eastAsia="楷体"/>
          <w:b/>
          <w:szCs w:val="21"/>
        </w:rPr>
      </w:pPr>
      <w:bookmarkStart w:id="29" w:name="_Toc522175455"/>
      <w:r>
        <w:rPr>
          <w:rFonts w:eastAsia="楷体"/>
          <w:b/>
          <w:szCs w:val="21"/>
        </w:rPr>
        <w:t>自愿开展公益支持：</w:t>
      </w:r>
      <w:bookmarkEnd w:id="29"/>
    </w:p>
    <w:p w14:paraId="36C7981E" w14:textId="77777777" w:rsidR="00823A52" w:rsidRDefault="00000000">
      <w:pPr>
        <w:spacing w:line="360" w:lineRule="auto"/>
        <w:ind w:firstLineChars="200" w:firstLine="480"/>
        <w:rPr>
          <w:rFonts w:eastAsia="楷体"/>
          <w:sz w:val="24"/>
        </w:rPr>
      </w:pPr>
      <w:r>
        <w:rPr>
          <w:rFonts w:eastAsia="楷体"/>
          <w:sz w:val="24"/>
        </w:rPr>
        <w:t>公益支持是组织超越法规和道德承诺之外的社会责任，是组织在资源条件许可的条件下，提升在社会责任方面的成熟度，是成为卓越企业的表现机会和途径。</w:t>
      </w:r>
    </w:p>
    <w:p w14:paraId="222399E1" w14:textId="77777777" w:rsidR="00823A52" w:rsidRDefault="00000000">
      <w:pPr>
        <w:spacing w:line="360" w:lineRule="auto"/>
        <w:rPr>
          <w:rFonts w:eastAsia="楷体"/>
          <w:sz w:val="24"/>
        </w:rPr>
      </w:pPr>
      <w:r>
        <w:rPr>
          <w:rFonts w:eastAsia="楷体" w:hint="eastAsia"/>
          <w:sz w:val="24"/>
        </w:rPr>
        <w:t>公司</w:t>
      </w:r>
      <w:r>
        <w:rPr>
          <w:rFonts w:eastAsia="楷体"/>
          <w:sz w:val="24"/>
        </w:rPr>
        <w:t>在快速发展的同时，始终牢记回馈社会的责任，将爱心注入企业文化，用行动回馈社会。公司通过帮困扶贫、</w:t>
      </w:r>
      <w:r>
        <w:rPr>
          <w:rFonts w:eastAsia="楷体" w:hint="eastAsia"/>
          <w:sz w:val="24"/>
        </w:rPr>
        <w:t>扶苗</w:t>
      </w:r>
      <w:r>
        <w:rPr>
          <w:rFonts w:eastAsia="楷体"/>
          <w:sz w:val="24"/>
        </w:rPr>
        <w:t>、慈善捐款、等多种形式开展各类公益活动。近年来公司投入公益支持金额达</w:t>
      </w:r>
      <w:r>
        <w:rPr>
          <w:rFonts w:eastAsia="楷体" w:hint="eastAsia"/>
          <w:sz w:val="24"/>
        </w:rPr>
        <w:t>18.732</w:t>
      </w:r>
      <w:r>
        <w:rPr>
          <w:rFonts w:eastAsia="楷体"/>
          <w:sz w:val="24"/>
        </w:rPr>
        <w:t>万元，见表</w:t>
      </w:r>
      <w:r>
        <w:rPr>
          <w:rFonts w:eastAsia="楷体"/>
          <w:sz w:val="24"/>
        </w:rPr>
        <w:t>1.4-3</w:t>
      </w:r>
      <w:r>
        <w:rPr>
          <w:rFonts w:eastAsia="楷体"/>
          <w:sz w:val="24"/>
        </w:rPr>
        <w:t>。</w:t>
      </w:r>
    </w:p>
    <w:p w14:paraId="4AD3248E" w14:textId="77777777" w:rsidR="00823A52" w:rsidRDefault="00000000">
      <w:pPr>
        <w:pStyle w:val="a8"/>
        <w:spacing w:line="360" w:lineRule="auto"/>
        <w:ind w:left="644" w:firstLineChars="850" w:firstLine="1785"/>
        <w:rPr>
          <w:rFonts w:eastAsia="楷体"/>
        </w:rPr>
      </w:pPr>
      <w:r>
        <w:rPr>
          <w:rFonts w:eastAsia="楷体"/>
        </w:rPr>
        <w:t>表</w:t>
      </w:r>
      <w:r>
        <w:rPr>
          <w:rFonts w:eastAsia="楷体"/>
        </w:rPr>
        <w:t>1.4-3</w:t>
      </w:r>
      <w:r>
        <w:rPr>
          <w:rFonts w:eastAsia="楷体" w:hint="eastAsia"/>
        </w:rPr>
        <w:t>公司</w:t>
      </w:r>
      <w:r>
        <w:rPr>
          <w:rFonts w:eastAsia="楷体"/>
        </w:rPr>
        <w:t>支持公益事业捐款</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01"/>
        <w:gridCol w:w="1111"/>
        <w:gridCol w:w="4909"/>
        <w:gridCol w:w="1182"/>
      </w:tblGrid>
      <w:tr w:rsidR="00823A52" w14:paraId="5CFA4D8C" w14:textId="77777777">
        <w:trPr>
          <w:trHeight w:hRule="exact" w:val="454"/>
        </w:trPr>
        <w:tc>
          <w:tcPr>
            <w:tcW w:w="1101" w:type="dxa"/>
            <w:tcBorders>
              <w:top w:val="single" w:sz="12" w:space="0" w:color="000000"/>
              <w:left w:val="single" w:sz="12" w:space="0" w:color="000000"/>
              <w:bottom w:val="single" w:sz="12" w:space="0" w:color="000000"/>
              <w:right w:val="single" w:sz="4" w:space="0" w:color="000000"/>
            </w:tcBorders>
            <w:shd w:val="clear" w:color="auto" w:fill="D7D7D7"/>
            <w:vAlign w:val="center"/>
          </w:tcPr>
          <w:p w14:paraId="212E30EE" w14:textId="77777777" w:rsidR="00823A52" w:rsidRDefault="00000000">
            <w:pPr>
              <w:jc w:val="center"/>
              <w:textAlignment w:val="center"/>
              <w:rPr>
                <w:rFonts w:eastAsia="楷体"/>
                <w:b/>
                <w:szCs w:val="21"/>
              </w:rPr>
            </w:pPr>
            <w:r>
              <w:rPr>
                <w:rFonts w:eastAsia="楷体"/>
                <w:b/>
                <w:szCs w:val="21"/>
              </w:rPr>
              <w:lastRenderedPageBreak/>
              <w:t>时间</w:t>
            </w:r>
          </w:p>
        </w:tc>
        <w:tc>
          <w:tcPr>
            <w:tcW w:w="1111" w:type="dxa"/>
            <w:tcBorders>
              <w:top w:val="single" w:sz="12" w:space="0" w:color="000000"/>
              <w:left w:val="single" w:sz="4" w:space="0" w:color="000000"/>
              <w:bottom w:val="single" w:sz="12" w:space="0" w:color="000000"/>
              <w:right w:val="single" w:sz="4" w:space="0" w:color="000000"/>
            </w:tcBorders>
            <w:shd w:val="clear" w:color="auto" w:fill="D7D7D7"/>
            <w:vAlign w:val="center"/>
          </w:tcPr>
          <w:p w14:paraId="0417F008" w14:textId="77777777" w:rsidR="00823A52" w:rsidRDefault="00000000">
            <w:pPr>
              <w:jc w:val="center"/>
              <w:textAlignment w:val="center"/>
              <w:rPr>
                <w:rFonts w:eastAsia="楷体"/>
                <w:b/>
                <w:szCs w:val="21"/>
              </w:rPr>
            </w:pPr>
            <w:r>
              <w:rPr>
                <w:rFonts w:eastAsia="楷体"/>
                <w:b/>
                <w:szCs w:val="21"/>
              </w:rPr>
              <w:t>凭证号</w:t>
            </w:r>
          </w:p>
        </w:tc>
        <w:tc>
          <w:tcPr>
            <w:tcW w:w="4909" w:type="dxa"/>
            <w:tcBorders>
              <w:top w:val="single" w:sz="12" w:space="0" w:color="000000"/>
              <w:left w:val="single" w:sz="4" w:space="0" w:color="000000"/>
              <w:bottom w:val="single" w:sz="12" w:space="0" w:color="000000"/>
              <w:right w:val="single" w:sz="4" w:space="0" w:color="000000"/>
            </w:tcBorders>
            <w:shd w:val="clear" w:color="auto" w:fill="D7D7D7"/>
            <w:vAlign w:val="center"/>
          </w:tcPr>
          <w:p w14:paraId="25602705" w14:textId="77777777" w:rsidR="00823A52" w:rsidRDefault="00000000">
            <w:pPr>
              <w:jc w:val="center"/>
              <w:textAlignment w:val="center"/>
              <w:rPr>
                <w:rFonts w:eastAsia="楷体"/>
                <w:b/>
                <w:szCs w:val="21"/>
              </w:rPr>
            </w:pPr>
            <w:r>
              <w:rPr>
                <w:rFonts w:eastAsia="楷体"/>
                <w:b/>
                <w:szCs w:val="21"/>
              </w:rPr>
              <w:t>内</w:t>
            </w:r>
            <w:r>
              <w:rPr>
                <w:rStyle w:val="font31"/>
                <w:rFonts w:eastAsia="楷体"/>
                <w:szCs w:val="21"/>
              </w:rPr>
              <w:t xml:space="preserve">  </w:t>
            </w:r>
            <w:r>
              <w:rPr>
                <w:rStyle w:val="font11"/>
                <w:rFonts w:ascii="Times New Roman" w:eastAsia="楷体" w:hAnsi="Times New Roman" w:cs="Times New Roman"/>
                <w:szCs w:val="21"/>
              </w:rPr>
              <w:t>容</w:t>
            </w:r>
          </w:p>
        </w:tc>
        <w:tc>
          <w:tcPr>
            <w:tcW w:w="1182" w:type="dxa"/>
            <w:tcBorders>
              <w:top w:val="single" w:sz="12" w:space="0" w:color="000000"/>
              <w:left w:val="single" w:sz="4" w:space="0" w:color="000000"/>
              <w:bottom w:val="single" w:sz="12" w:space="0" w:color="000000"/>
              <w:right w:val="single" w:sz="12" w:space="0" w:color="000000"/>
            </w:tcBorders>
            <w:shd w:val="clear" w:color="auto" w:fill="D7D7D7"/>
            <w:vAlign w:val="center"/>
          </w:tcPr>
          <w:p w14:paraId="74C5A28F" w14:textId="77777777" w:rsidR="00823A52" w:rsidRDefault="00000000">
            <w:pPr>
              <w:jc w:val="center"/>
              <w:textAlignment w:val="center"/>
              <w:rPr>
                <w:rFonts w:eastAsia="楷体"/>
                <w:b/>
                <w:szCs w:val="21"/>
              </w:rPr>
            </w:pPr>
            <w:r>
              <w:rPr>
                <w:rFonts w:eastAsia="楷体"/>
                <w:b/>
                <w:szCs w:val="21"/>
              </w:rPr>
              <w:t>金</w:t>
            </w:r>
            <w:r>
              <w:rPr>
                <w:rStyle w:val="font11"/>
                <w:rFonts w:ascii="Times New Roman" w:eastAsia="楷体" w:hAnsi="Times New Roman" w:cs="Times New Roman"/>
                <w:szCs w:val="21"/>
              </w:rPr>
              <w:t>额</w:t>
            </w:r>
            <w:r>
              <w:rPr>
                <w:rFonts w:eastAsia="楷体"/>
                <w:b/>
                <w:szCs w:val="21"/>
              </w:rPr>
              <w:t>（元）</w:t>
            </w:r>
          </w:p>
        </w:tc>
      </w:tr>
      <w:tr w:rsidR="00823A52" w14:paraId="12F30DBF" w14:textId="77777777">
        <w:trPr>
          <w:trHeight w:hRule="exact" w:val="686"/>
        </w:trPr>
        <w:tc>
          <w:tcPr>
            <w:tcW w:w="1101" w:type="dxa"/>
            <w:tcBorders>
              <w:left w:val="single" w:sz="12" w:space="0" w:color="000000"/>
              <w:bottom w:val="single" w:sz="4" w:space="0" w:color="000000"/>
              <w:right w:val="single" w:sz="4" w:space="0" w:color="000000"/>
            </w:tcBorders>
            <w:vAlign w:val="center"/>
          </w:tcPr>
          <w:p w14:paraId="097DC89B" w14:textId="77777777" w:rsidR="00823A52" w:rsidRDefault="00000000">
            <w:pPr>
              <w:textAlignment w:val="center"/>
              <w:rPr>
                <w:rFonts w:eastAsia="楷体"/>
                <w:szCs w:val="21"/>
              </w:rPr>
            </w:pPr>
            <w:r>
              <w:rPr>
                <w:rFonts w:eastAsia="楷体" w:hint="eastAsia"/>
                <w:szCs w:val="21"/>
              </w:rPr>
              <w:t>2019.7.23</w:t>
            </w:r>
          </w:p>
        </w:tc>
        <w:tc>
          <w:tcPr>
            <w:tcW w:w="1111" w:type="dxa"/>
            <w:tcBorders>
              <w:left w:val="single" w:sz="4" w:space="0" w:color="000000"/>
              <w:bottom w:val="single" w:sz="4" w:space="0" w:color="000000"/>
              <w:right w:val="single" w:sz="4" w:space="0" w:color="000000"/>
            </w:tcBorders>
            <w:vAlign w:val="center"/>
          </w:tcPr>
          <w:p w14:paraId="3985A67E" w14:textId="77777777" w:rsidR="00823A52" w:rsidRDefault="00000000">
            <w:pPr>
              <w:textAlignment w:val="center"/>
              <w:rPr>
                <w:rFonts w:eastAsia="楷体"/>
                <w:szCs w:val="21"/>
              </w:rPr>
            </w:pPr>
            <w:r>
              <w:rPr>
                <w:rFonts w:eastAsia="楷体" w:hint="eastAsia"/>
                <w:szCs w:val="21"/>
              </w:rPr>
              <w:t>335</w:t>
            </w:r>
            <w:r>
              <w:rPr>
                <w:rFonts w:eastAsia="楷体"/>
                <w:szCs w:val="21"/>
              </w:rPr>
              <w:t>#</w:t>
            </w:r>
          </w:p>
        </w:tc>
        <w:tc>
          <w:tcPr>
            <w:tcW w:w="4909" w:type="dxa"/>
            <w:tcBorders>
              <w:left w:val="single" w:sz="4" w:space="0" w:color="000000"/>
              <w:bottom w:val="single" w:sz="4" w:space="0" w:color="000000"/>
              <w:right w:val="single" w:sz="4" w:space="0" w:color="000000"/>
            </w:tcBorders>
            <w:vAlign w:val="center"/>
          </w:tcPr>
          <w:p w14:paraId="575114DA" w14:textId="77777777" w:rsidR="00823A52" w:rsidRDefault="00000000">
            <w:pPr>
              <w:textAlignment w:val="center"/>
              <w:rPr>
                <w:rFonts w:eastAsia="楷体"/>
                <w:szCs w:val="21"/>
              </w:rPr>
            </w:pPr>
            <w:r>
              <w:rPr>
                <w:rFonts w:eastAsia="楷体" w:hint="eastAsia"/>
                <w:szCs w:val="21"/>
              </w:rPr>
              <w:t>东西部扶贫</w:t>
            </w:r>
          </w:p>
        </w:tc>
        <w:tc>
          <w:tcPr>
            <w:tcW w:w="1182" w:type="dxa"/>
            <w:tcBorders>
              <w:left w:val="single" w:sz="4" w:space="0" w:color="000000"/>
              <w:bottom w:val="single" w:sz="4" w:space="0" w:color="000000"/>
              <w:right w:val="single" w:sz="12" w:space="0" w:color="000000"/>
            </w:tcBorders>
            <w:vAlign w:val="center"/>
          </w:tcPr>
          <w:p w14:paraId="5C99CA4F" w14:textId="77777777" w:rsidR="00823A52" w:rsidRDefault="00000000">
            <w:pPr>
              <w:jc w:val="right"/>
              <w:textAlignment w:val="center"/>
              <w:rPr>
                <w:rFonts w:eastAsia="楷体"/>
                <w:szCs w:val="21"/>
              </w:rPr>
            </w:pPr>
            <w:r>
              <w:rPr>
                <w:rFonts w:eastAsia="楷体" w:hint="eastAsia"/>
                <w:szCs w:val="21"/>
              </w:rPr>
              <w:t>10000</w:t>
            </w:r>
          </w:p>
        </w:tc>
      </w:tr>
      <w:tr w:rsidR="00823A52" w14:paraId="743CBCBF" w14:textId="77777777">
        <w:trPr>
          <w:trHeight w:hRule="exact" w:val="454"/>
        </w:trPr>
        <w:tc>
          <w:tcPr>
            <w:tcW w:w="1101" w:type="dxa"/>
            <w:tcBorders>
              <w:top w:val="single" w:sz="4" w:space="0" w:color="000000"/>
              <w:left w:val="single" w:sz="12" w:space="0" w:color="000000"/>
              <w:bottom w:val="single" w:sz="4" w:space="0" w:color="000000"/>
              <w:right w:val="single" w:sz="4" w:space="0" w:color="000000"/>
            </w:tcBorders>
            <w:vAlign w:val="center"/>
          </w:tcPr>
          <w:p w14:paraId="11631216" w14:textId="77777777" w:rsidR="00823A52" w:rsidRDefault="00000000">
            <w:pPr>
              <w:textAlignment w:val="center"/>
              <w:rPr>
                <w:rFonts w:eastAsia="楷体"/>
                <w:szCs w:val="21"/>
              </w:rPr>
            </w:pPr>
            <w:r>
              <w:rPr>
                <w:rFonts w:eastAsia="楷体" w:hint="eastAsia"/>
                <w:szCs w:val="21"/>
              </w:rPr>
              <w:t>2021.9.29</w:t>
            </w:r>
          </w:p>
        </w:tc>
        <w:tc>
          <w:tcPr>
            <w:tcW w:w="1111" w:type="dxa"/>
            <w:tcBorders>
              <w:top w:val="single" w:sz="4" w:space="0" w:color="000000"/>
              <w:left w:val="single" w:sz="4" w:space="0" w:color="000000"/>
              <w:bottom w:val="single" w:sz="4" w:space="0" w:color="000000"/>
              <w:right w:val="single" w:sz="4" w:space="0" w:color="000000"/>
            </w:tcBorders>
            <w:vAlign w:val="center"/>
          </w:tcPr>
          <w:p w14:paraId="20B9843A" w14:textId="77777777" w:rsidR="00823A52" w:rsidRDefault="00000000">
            <w:pPr>
              <w:textAlignment w:val="center"/>
              <w:rPr>
                <w:rFonts w:eastAsia="楷体"/>
                <w:szCs w:val="21"/>
              </w:rPr>
            </w:pPr>
            <w:r>
              <w:rPr>
                <w:rFonts w:eastAsia="楷体" w:hint="eastAsia"/>
                <w:szCs w:val="21"/>
              </w:rPr>
              <w:t>455</w:t>
            </w:r>
            <w:r>
              <w:rPr>
                <w:rFonts w:eastAsia="楷体"/>
                <w:szCs w:val="21"/>
              </w:rPr>
              <w:t>#</w:t>
            </w:r>
          </w:p>
        </w:tc>
        <w:tc>
          <w:tcPr>
            <w:tcW w:w="4909" w:type="dxa"/>
            <w:tcBorders>
              <w:top w:val="single" w:sz="4" w:space="0" w:color="000000"/>
              <w:left w:val="single" w:sz="4" w:space="0" w:color="000000"/>
              <w:bottom w:val="single" w:sz="4" w:space="0" w:color="000000"/>
              <w:right w:val="single" w:sz="4" w:space="0" w:color="000000"/>
            </w:tcBorders>
            <w:vAlign w:val="center"/>
          </w:tcPr>
          <w:p w14:paraId="08125B52" w14:textId="77777777" w:rsidR="00823A52" w:rsidRDefault="00000000">
            <w:pPr>
              <w:textAlignment w:val="center"/>
              <w:rPr>
                <w:rFonts w:eastAsia="楷体"/>
                <w:szCs w:val="21"/>
              </w:rPr>
            </w:pPr>
            <w:r>
              <w:rPr>
                <w:rFonts w:eastAsia="楷体" w:hint="eastAsia"/>
                <w:szCs w:val="21"/>
              </w:rPr>
              <w:t>东西部协助帮扶地区乡村振兴捐款</w:t>
            </w:r>
          </w:p>
        </w:tc>
        <w:tc>
          <w:tcPr>
            <w:tcW w:w="1182" w:type="dxa"/>
            <w:tcBorders>
              <w:top w:val="single" w:sz="4" w:space="0" w:color="000000"/>
              <w:left w:val="single" w:sz="4" w:space="0" w:color="000000"/>
              <w:bottom w:val="single" w:sz="4" w:space="0" w:color="000000"/>
              <w:right w:val="single" w:sz="12" w:space="0" w:color="000000"/>
            </w:tcBorders>
            <w:vAlign w:val="center"/>
          </w:tcPr>
          <w:p w14:paraId="43461FBF" w14:textId="77777777" w:rsidR="00823A52" w:rsidRDefault="00000000">
            <w:pPr>
              <w:jc w:val="right"/>
              <w:textAlignment w:val="center"/>
              <w:rPr>
                <w:rFonts w:eastAsia="楷体"/>
                <w:szCs w:val="21"/>
              </w:rPr>
            </w:pPr>
            <w:r>
              <w:rPr>
                <w:rFonts w:eastAsia="楷体" w:hint="eastAsia"/>
                <w:szCs w:val="21"/>
              </w:rPr>
              <w:t>20000</w:t>
            </w:r>
          </w:p>
        </w:tc>
      </w:tr>
      <w:tr w:rsidR="00823A52" w14:paraId="3B54F340" w14:textId="77777777">
        <w:trPr>
          <w:trHeight w:hRule="exact" w:val="454"/>
        </w:trPr>
        <w:tc>
          <w:tcPr>
            <w:tcW w:w="1101" w:type="dxa"/>
            <w:tcBorders>
              <w:top w:val="single" w:sz="4" w:space="0" w:color="000000"/>
              <w:left w:val="single" w:sz="12" w:space="0" w:color="000000"/>
              <w:bottom w:val="single" w:sz="4" w:space="0" w:color="000000"/>
              <w:right w:val="single" w:sz="4" w:space="0" w:color="000000"/>
            </w:tcBorders>
            <w:vAlign w:val="center"/>
          </w:tcPr>
          <w:p w14:paraId="5921EDD6" w14:textId="77777777" w:rsidR="00823A52" w:rsidRDefault="00000000">
            <w:pPr>
              <w:textAlignment w:val="center"/>
              <w:rPr>
                <w:rFonts w:eastAsia="楷体"/>
                <w:szCs w:val="21"/>
              </w:rPr>
            </w:pPr>
            <w:r>
              <w:rPr>
                <w:rFonts w:eastAsia="楷体" w:hint="eastAsia"/>
                <w:szCs w:val="21"/>
              </w:rPr>
              <w:t>2023.5.30</w:t>
            </w:r>
          </w:p>
        </w:tc>
        <w:tc>
          <w:tcPr>
            <w:tcW w:w="1111" w:type="dxa"/>
            <w:tcBorders>
              <w:top w:val="single" w:sz="4" w:space="0" w:color="000000"/>
              <w:left w:val="single" w:sz="4" w:space="0" w:color="000000"/>
              <w:bottom w:val="single" w:sz="4" w:space="0" w:color="000000"/>
              <w:right w:val="single" w:sz="4" w:space="0" w:color="000000"/>
            </w:tcBorders>
            <w:vAlign w:val="center"/>
          </w:tcPr>
          <w:p w14:paraId="05AE0DBA" w14:textId="77777777" w:rsidR="00823A52" w:rsidRDefault="00000000">
            <w:pPr>
              <w:textAlignment w:val="center"/>
              <w:rPr>
                <w:rFonts w:eastAsia="楷体"/>
                <w:szCs w:val="21"/>
              </w:rPr>
            </w:pPr>
            <w:r>
              <w:rPr>
                <w:rFonts w:eastAsia="楷体" w:hint="eastAsia"/>
                <w:szCs w:val="21"/>
              </w:rPr>
              <w:t>483#</w:t>
            </w:r>
          </w:p>
        </w:tc>
        <w:tc>
          <w:tcPr>
            <w:tcW w:w="4909" w:type="dxa"/>
            <w:vAlign w:val="center"/>
          </w:tcPr>
          <w:p w14:paraId="01514A07" w14:textId="77777777" w:rsidR="00823A52" w:rsidRDefault="00000000">
            <w:pPr>
              <w:textAlignment w:val="center"/>
              <w:rPr>
                <w:rFonts w:eastAsia="楷体"/>
                <w:szCs w:val="21"/>
              </w:rPr>
            </w:pPr>
            <w:r>
              <w:rPr>
                <w:rFonts w:eastAsia="楷体" w:hint="eastAsia"/>
                <w:szCs w:val="21"/>
              </w:rPr>
              <w:t>扶苗计划捐款</w:t>
            </w:r>
          </w:p>
        </w:tc>
        <w:tc>
          <w:tcPr>
            <w:tcW w:w="1182" w:type="dxa"/>
            <w:tcBorders>
              <w:top w:val="single" w:sz="4" w:space="0" w:color="000000"/>
              <w:left w:val="single" w:sz="4" w:space="0" w:color="000000"/>
              <w:bottom w:val="single" w:sz="4" w:space="0" w:color="000000"/>
              <w:right w:val="single" w:sz="12" w:space="0" w:color="000000"/>
            </w:tcBorders>
            <w:vAlign w:val="center"/>
          </w:tcPr>
          <w:p w14:paraId="26919D86" w14:textId="77777777" w:rsidR="00823A52" w:rsidRDefault="00000000">
            <w:pPr>
              <w:jc w:val="right"/>
              <w:textAlignment w:val="center"/>
              <w:rPr>
                <w:rFonts w:eastAsia="楷体"/>
                <w:szCs w:val="21"/>
              </w:rPr>
            </w:pPr>
            <w:r>
              <w:rPr>
                <w:rFonts w:eastAsia="楷体" w:hint="eastAsia"/>
                <w:szCs w:val="21"/>
              </w:rPr>
              <w:t>20000</w:t>
            </w:r>
          </w:p>
        </w:tc>
      </w:tr>
      <w:tr w:rsidR="00823A52" w14:paraId="4E832CB6" w14:textId="77777777">
        <w:trPr>
          <w:trHeight w:hRule="exact" w:val="454"/>
        </w:trPr>
        <w:tc>
          <w:tcPr>
            <w:tcW w:w="1101" w:type="dxa"/>
            <w:tcBorders>
              <w:top w:val="single" w:sz="4" w:space="0" w:color="000000"/>
              <w:left w:val="single" w:sz="12" w:space="0" w:color="000000"/>
              <w:bottom w:val="single" w:sz="4" w:space="0" w:color="000000"/>
              <w:right w:val="single" w:sz="4" w:space="0" w:color="000000"/>
            </w:tcBorders>
            <w:vAlign w:val="center"/>
          </w:tcPr>
          <w:p w14:paraId="4504ADDD" w14:textId="77777777" w:rsidR="00823A52" w:rsidRDefault="00000000">
            <w:pPr>
              <w:textAlignment w:val="center"/>
              <w:rPr>
                <w:rFonts w:eastAsia="楷体"/>
                <w:szCs w:val="21"/>
              </w:rPr>
            </w:pPr>
            <w:r>
              <w:rPr>
                <w:rFonts w:eastAsia="楷体" w:hint="eastAsia"/>
                <w:szCs w:val="21"/>
              </w:rPr>
              <w:t>2023.9.6</w:t>
            </w:r>
          </w:p>
        </w:tc>
        <w:tc>
          <w:tcPr>
            <w:tcW w:w="1111" w:type="dxa"/>
            <w:tcBorders>
              <w:top w:val="single" w:sz="4" w:space="0" w:color="000000"/>
              <w:left w:val="single" w:sz="4" w:space="0" w:color="000000"/>
              <w:bottom w:val="single" w:sz="4" w:space="0" w:color="000000"/>
              <w:right w:val="single" w:sz="4" w:space="0" w:color="000000"/>
            </w:tcBorders>
            <w:vAlign w:val="center"/>
          </w:tcPr>
          <w:p w14:paraId="5F8EBDB7" w14:textId="77777777" w:rsidR="00823A52" w:rsidRDefault="00000000">
            <w:pPr>
              <w:textAlignment w:val="center"/>
              <w:rPr>
                <w:rFonts w:eastAsia="楷体"/>
                <w:szCs w:val="21"/>
              </w:rPr>
            </w:pPr>
            <w:r>
              <w:rPr>
                <w:rFonts w:eastAsia="楷体" w:hint="eastAsia"/>
                <w:szCs w:val="21"/>
              </w:rPr>
              <w:t>36#</w:t>
            </w:r>
          </w:p>
        </w:tc>
        <w:tc>
          <w:tcPr>
            <w:tcW w:w="4909" w:type="dxa"/>
            <w:tcBorders>
              <w:top w:val="single" w:sz="4" w:space="0" w:color="000000"/>
              <w:left w:val="single" w:sz="4" w:space="0" w:color="000000"/>
              <w:bottom w:val="single" w:sz="4" w:space="0" w:color="000000"/>
              <w:right w:val="single" w:sz="4" w:space="0" w:color="000000"/>
            </w:tcBorders>
            <w:vAlign w:val="center"/>
          </w:tcPr>
          <w:p w14:paraId="02110BCC" w14:textId="77777777" w:rsidR="00823A52" w:rsidRDefault="00000000">
            <w:pPr>
              <w:textAlignment w:val="center"/>
              <w:rPr>
                <w:rFonts w:eastAsia="楷体"/>
                <w:szCs w:val="21"/>
              </w:rPr>
            </w:pPr>
            <w:r>
              <w:rPr>
                <w:rFonts w:eastAsia="楷体" w:hint="eastAsia"/>
                <w:szCs w:val="21"/>
              </w:rPr>
              <w:t>上桥社区精致高新示范村（居）建设</w:t>
            </w:r>
          </w:p>
        </w:tc>
        <w:tc>
          <w:tcPr>
            <w:tcW w:w="1182" w:type="dxa"/>
            <w:tcBorders>
              <w:top w:val="single" w:sz="4" w:space="0" w:color="000000"/>
              <w:left w:val="single" w:sz="4" w:space="0" w:color="000000"/>
              <w:bottom w:val="single" w:sz="4" w:space="0" w:color="000000"/>
              <w:right w:val="single" w:sz="12" w:space="0" w:color="000000"/>
            </w:tcBorders>
            <w:vAlign w:val="center"/>
          </w:tcPr>
          <w:p w14:paraId="62FE3D51" w14:textId="77777777" w:rsidR="00823A52" w:rsidRDefault="00000000">
            <w:pPr>
              <w:jc w:val="right"/>
              <w:textAlignment w:val="center"/>
              <w:rPr>
                <w:rFonts w:eastAsia="楷体"/>
                <w:szCs w:val="21"/>
              </w:rPr>
            </w:pPr>
            <w:r>
              <w:rPr>
                <w:rFonts w:eastAsia="楷体" w:hint="eastAsia"/>
                <w:szCs w:val="21"/>
              </w:rPr>
              <w:t>50000</w:t>
            </w:r>
          </w:p>
        </w:tc>
      </w:tr>
      <w:tr w:rsidR="00823A52" w14:paraId="68551231" w14:textId="77777777">
        <w:trPr>
          <w:trHeight w:hRule="exact" w:val="454"/>
        </w:trPr>
        <w:tc>
          <w:tcPr>
            <w:tcW w:w="1101" w:type="dxa"/>
            <w:tcBorders>
              <w:top w:val="single" w:sz="4" w:space="0" w:color="000000"/>
              <w:left w:val="single" w:sz="12" w:space="0" w:color="000000"/>
              <w:bottom w:val="single" w:sz="4" w:space="0" w:color="000000"/>
              <w:right w:val="single" w:sz="4" w:space="0" w:color="000000"/>
            </w:tcBorders>
            <w:vAlign w:val="center"/>
          </w:tcPr>
          <w:p w14:paraId="19571C42" w14:textId="77777777" w:rsidR="00823A52" w:rsidRDefault="00000000">
            <w:pPr>
              <w:textAlignment w:val="center"/>
              <w:rPr>
                <w:rFonts w:eastAsia="楷体"/>
                <w:szCs w:val="21"/>
              </w:rPr>
            </w:pPr>
            <w:r>
              <w:rPr>
                <w:rFonts w:eastAsia="楷体" w:hint="eastAsia"/>
                <w:szCs w:val="21"/>
              </w:rPr>
              <w:t>2024.4.30</w:t>
            </w:r>
          </w:p>
        </w:tc>
        <w:tc>
          <w:tcPr>
            <w:tcW w:w="1111" w:type="dxa"/>
            <w:tcBorders>
              <w:top w:val="single" w:sz="4" w:space="0" w:color="000000"/>
              <w:left w:val="single" w:sz="4" w:space="0" w:color="000000"/>
              <w:bottom w:val="single" w:sz="4" w:space="0" w:color="000000"/>
              <w:right w:val="single" w:sz="4" w:space="0" w:color="000000"/>
            </w:tcBorders>
            <w:vAlign w:val="center"/>
          </w:tcPr>
          <w:p w14:paraId="3DE3D729" w14:textId="77777777" w:rsidR="00823A52" w:rsidRDefault="00000000">
            <w:pPr>
              <w:textAlignment w:val="center"/>
              <w:rPr>
                <w:rFonts w:eastAsia="楷体"/>
                <w:szCs w:val="21"/>
              </w:rPr>
            </w:pPr>
            <w:r>
              <w:rPr>
                <w:rFonts w:eastAsia="楷体" w:hint="eastAsia"/>
                <w:szCs w:val="21"/>
              </w:rPr>
              <w:t>548</w:t>
            </w:r>
            <w:r>
              <w:rPr>
                <w:rFonts w:eastAsia="楷体"/>
                <w:szCs w:val="21"/>
              </w:rPr>
              <w:t>#</w:t>
            </w:r>
          </w:p>
        </w:tc>
        <w:tc>
          <w:tcPr>
            <w:tcW w:w="4909" w:type="dxa"/>
            <w:tcBorders>
              <w:top w:val="single" w:sz="4" w:space="0" w:color="000000"/>
              <w:left w:val="single" w:sz="4" w:space="0" w:color="000000"/>
              <w:bottom w:val="single" w:sz="4" w:space="0" w:color="000000"/>
              <w:right w:val="single" w:sz="4" w:space="0" w:color="000000"/>
            </w:tcBorders>
            <w:vAlign w:val="center"/>
          </w:tcPr>
          <w:p w14:paraId="68C208CC" w14:textId="77777777" w:rsidR="00823A52" w:rsidRDefault="00000000">
            <w:pPr>
              <w:textAlignment w:val="center"/>
              <w:rPr>
                <w:rFonts w:eastAsia="楷体"/>
                <w:szCs w:val="21"/>
              </w:rPr>
            </w:pPr>
            <w:r>
              <w:rPr>
                <w:rFonts w:eastAsia="楷体" w:hint="eastAsia"/>
                <w:szCs w:val="21"/>
              </w:rPr>
              <w:t>泰州市希望工程大米捐赠</w:t>
            </w:r>
          </w:p>
        </w:tc>
        <w:tc>
          <w:tcPr>
            <w:tcW w:w="1182" w:type="dxa"/>
            <w:tcBorders>
              <w:top w:val="single" w:sz="4" w:space="0" w:color="000000"/>
              <w:left w:val="single" w:sz="4" w:space="0" w:color="000000"/>
              <w:bottom w:val="single" w:sz="4" w:space="0" w:color="000000"/>
              <w:right w:val="single" w:sz="12" w:space="0" w:color="000000"/>
            </w:tcBorders>
            <w:vAlign w:val="center"/>
          </w:tcPr>
          <w:p w14:paraId="76D87031" w14:textId="77777777" w:rsidR="00823A52" w:rsidRDefault="00000000">
            <w:pPr>
              <w:jc w:val="right"/>
              <w:textAlignment w:val="center"/>
              <w:rPr>
                <w:rFonts w:eastAsia="楷体"/>
                <w:szCs w:val="21"/>
              </w:rPr>
            </w:pPr>
            <w:r>
              <w:rPr>
                <w:rFonts w:eastAsia="楷体" w:hint="eastAsia"/>
                <w:szCs w:val="21"/>
              </w:rPr>
              <w:t>4732</w:t>
            </w:r>
            <w:r>
              <w:rPr>
                <w:rFonts w:eastAsia="楷体"/>
                <w:szCs w:val="21"/>
              </w:rPr>
              <w:t>0</w:t>
            </w:r>
          </w:p>
        </w:tc>
      </w:tr>
      <w:tr w:rsidR="00823A52" w14:paraId="14977C94" w14:textId="77777777">
        <w:trPr>
          <w:trHeight w:hRule="exact" w:val="454"/>
        </w:trPr>
        <w:tc>
          <w:tcPr>
            <w:tcW w:w="1101" w:type="dxa"/>
            <w:tcBorders>
              <w:top w:val="single" w:sz="4" w:space="0" w:color="000000"/>
              <w:left w:val="single" w:sz="12" w:space="0" w:color="000000"/>
              <w:bottom w:val="single" w:sz="4" w:space="0" w:color="000000"/>
              <w:right w:val="single" w:sz="4" w:space="0" w:color="000000"/>
            </w:tcBorders>
            <w:vAlign w:val="center"/>
          </w:tcPr>
          <w:p w14:paraId="22A7CE86" w14:textId="77777777" w:rsidR="00823A52" w:rsidRDefault="00000000">
            <w:pPr>
              <w:textAlignment w:val="center"/>
              <w:rPr>
                <w:rFonts w:eastAsia="楷体"/>
                <w:szCs w:val="21"/>
              </w:rPr>
            </w:pPr>
            <w:r>
              <w:rPr>
                <w:rFonts w:eastAsia="楷体" w:hint="eastAsia"/>
                <w:szCs w:val="21"/>
              </w:rPr>
              <w:t>2024.7.31</w:t>
            </w:r>
          </w:p>
        </w:tc>
        <w:tc>
          <w:tcPr>
            <w:tcW w:w="1111" w:type="dxa"/>
            <w:tcBorders>
              <w:top w:val="single" w:sz="4" w:space="0" w:color="000000"/>
              <w:left w:val="single" w:sz="4" w:space="0" w:color="000000"/>
              <w:bottom w:val="single" w:sz="4" w:space="0" w:color="000000"/>
              <w:right w:val="single" w:sz="4" w:space="0" w:color="000000"/>
            </w:tcBorders>
            <w:vAlign w:val="center"/>
          </w:tcPr>
          <w:p w14:paraId="1AAAB3AA" w14:textId="77777777" w:rsidR="00823A52" w:rsidRDefault="00000000">
            <w:pPr>
              <w:textAlignment w:val="center"/>
              <w:rPr>
                <w:rFonts w:eastAsia="楷体"/>
                <w:szCs w:val="21"/>
              </w:rPr>
            </w:pPr>
            <w:r>
              <w:rPr>
                <w:rFonts w:eastAsia="楷体" w:hint="eastAsia"/>
                <w:szCs w:val="21"/>
              </w:rPr>
              <w:t>537</w:t>
            </w:r>
            <w:r>
              <w:rPr>
                <w:rFonts w:eastAsia="楷体"/>
                <w:szCs w:val="21"/>
              </w:rPr>
              <w:t>#</w:t>
            </w:r>
          </w:p>
        </w:tc>
        <w:tc>
          <w:tcPr>
            <w:tcW w:w="4909" w:type="dxa"/>
            <w:tcBorders>
              <w:top w:val="single" w:sz="4" w:space="0" w:color="000000"/>
              <w:left w:val="single" w:sz="4" w:space="0" w:color="000000"/>
              <w:bottom w:val="single" w:sz="4" w:space="0" w:color="000000"/>
              <w:right w:val="single" w:sz="4" w:space="0" w:color="000000"/>
            </w:tcBorders>
            <w:vAlign w:val="center"/>
          </w:tcPr>
          <w:p w14:paraId="21BB3117" w14:textId="77777777" w:rsidR="00823A52" w:rsidRDefault="00000000">
            <w:pPr>
              <w:textAlignment w:val="center"/>
              <w:rPr>
                <w:rFonts w:eastAsia="楷体"/>
                <w:szCs w:val="21"/>
              </w:rPr>
            </w:pPr>
            <w:r>
              <w:rPr>
                <w:rFonts w:eastAsia="楷体" w:hint="eastAsia"/>
                <w:szCs w:val="21"/>
              </w:rPr>
              <w:t>慈善捐款</w:t>
            </w:r>
          </w:p>
        </w:tc>
        <w:tc>
          <w:tcPr>
            <w:tcW w:w="1182" w:type="dxa"/>
            <w:tcBorders>
              <w:top w:val="single" w:sz="4" w:space="0" w:color="000000"/>
              <w:left w:val="single" w:sz="4" w:space="0" w:color="000000"/>
              <w:bottom w:val="single" w:sz="4" w:space="0" w:color="000000"/>
              <w:right w:val="single" w:sz="12" w:space="0" w:color="000000"/>
            </w:tcBorders>
            <w:vAlign w:val="center"/>
          </w:tcPr>
          <w:p w14:paraId="2556F8E7" w14:textId="77777777" w:rsidR="00823A52" w:rsidRDefault="00000000">
            <w:pPr>
              <w:jc w:val="right"/>
              <w:textAlignment w:val="center"/>
              <w:rPr>
                <w:rFonts w:eastAsia="楷体"/>
                <w:szCs w:val="21"/>
              </w:rPr>
            </w:pPr>
            <w:r>
              <w:rPr>
                <w:rFonts w:eastAsia="楷体" w:hint="eastAsia"/>
                <w:szCs w:val="21"/>
              </w:rPr>
              <w:t>20000</w:t>
            </w:r>
          </w:p>
        </w:tc>
      </w:tr>
      <w:tr w:rsidR="00823A52" w14:paraId="4CD79BA2" w14:textId="77777777">
        <w:trPr>
          <w:trHeight w:hRule="exact" w:val="454"/>
        </w:trPr>
        <w:tc>
          <w:tcPr>
            <w:tcW w:w="1101" w:type="dxa"/>
            <w:tcBorders>
              <w:top w:val="single" w:sz="4" w:space="0" w:color="000000"/>
              <w:left w:val="single" w:sz="12" w:space="0" w:color="000000"/>
              <w:bottom w:val="single" w:sz="4" w:space="0" w:color="000000"/>
              <w:right w:val="single" w:sz="4" w:space="0" w:color="000000"/>
            </w:tcBorders>
            <w:vAlign w:val="center"/>
          </w:tcPr>
          <w:p w14:paraId="1292F842" w14:textId="77777777" w:rsidR="00823A52" w:rsidRDefault="00000000">
            <w:pPr>
              <w:textAlignment w:val="center"/>
              <w:rPr>
                <w:rFonts w:eastAsia="楷体"/>
                <w:szCs w:val="21"/>
              </w:rPr>
            </w:pPr>
            <w:r>
              <w:rPr>
                <w:rFonts w:eastAsia="楷体" w:hint="eastAsia"/>
                <w:szCs w:val="21"/>
              </w:rPr>
              <w:t>2024.8.30</w:t>
            </w:r>
          </w:p>
        </w:tc>
        <w:tc>
          <w:tcPr>
            <w:tcW w:w="1111" w:type="dxa"/>
            <w:tcBorders>
              <w:top w:val="single" w:sz="4" w:space="0" w:color="000000"/>
              <w:left w:val="single" w:sz="4" w:space="0" w:color="000000"/>
              <w:bottom w:val="single" w:sz="4" w:space="0" w:color="000000"/>
              <w:right w:val="single" w:sz="4" w:space="0" w:color="000000"/>
            </w:tcBorders>
            <w:vAlign w:val="center"/>
          </w:tcPr>
          <w:p w14:paraId="2B4AC230" w14:textId="77777777" w:rsidR="00823A52" w:rsidRDefault="00000000">
            <w:pPr>
              <w:textAlignment w:val="center"/>
              <w:rPr>
                <w:rFonts w:eastAsia="楷体"/>
                <w:szCs w:val="21"/>
              </w:rPr>
            </w:pPr>
            <w:r>
              <w:rPr>
                <w:rFonts w:eastAsia="楷体" w:hint="eastAsia"/>
                <w:szCs w:val="21"/>
              </w:rPr>
              <w:t>502</w:t>
            </w:r>
            <w:r>
              <w:rPr>
                <w:rFonts w:eastAsia="楷体"/>
                <w:szCs w:val="21"/>
              </w:rPr>
              <w:t>#</w:t>
            </w:r>
          </w:p>
        </w:tc>
        <w:tc>
          <w:tcPr>
            <w:tcW w:w="4909" w:type="dxa"/>
            <w:tcBorders>
              <w:top w:val="single" w:sz="4" w:space="0" w:color="000000"/>
              <w:left w:val="single" w:sz="4" w:space="0" w:color="000000"/>
              <w:bottom w:val="single" w:sz="4" w:space="0" w:color="000000"/>
              <w:right w:val="single" w:sz="4" w:space="0" w:color="000000"/>
            </w:tcBorders>
            <w:vAlign w:val="center"/>
          </w:tcPr>
          <w:p w14:paraId="6E08667A" w14:textId="77777777" w:rsidR="00823A52" w:rsidRDefault="00000000">
            <w:pPr>
              <w:textAlignment w:val="center"/>
              <w:rPr>
                <w:rFonts w:eastAsia="楷体"/>
                <w:szCs w:val="21"/>
              </w:rPr>
            </w:pPr>
            <w:r>
              <w:rPr>
                <w:rFonts w:eastAsia="楷体" w:hint="eastAsia"/>
                <w:szCs w:val="21"/>
              </w:rPr>
              <w:t>“同绘丹心，喜迎华诞”捐款</w:t>
            </w:r>
          </w:p>
        </w:tc>
        <w:tc>
          <w:tcPr>
            <w:tcW w:w="1182" w:type="dxa"/>
            <w:tcBorders>
              <w:top w:val="single" w:sz="4" w:space="0" w:color="000000"/>
              <w:left w:val="single" w:sz="4" w:space="0" w:color="000000"/>
              <w:bottom w:val="single" w:sz="4" w:space="0" w:color="000000"/>
              <w:right w:val="single" w:sz="12" w:space="0" w:color="000000"/>
            </w:tcBorders>
            <w:vAlign w:val="center"/>
          </w:tcPr>
          <w:p w14:paraId="53505B9E" w14:textId="77777777" w:rsidR="00823A52" w:rsidRDefault="00000000">
            <w:pPr>
              <w:jc w:val="right"/>
              <w:textAlignment w:val="center"/>
              <w:rPr>
                <w:rFonts w:eastAsia="楷体"/>
                <w:szCs w:val="21"/>
              </w:rPr>
            </w:pPr>
            <w:r>
              <w:rPr>
                <w:rFonts w:eastAsia="楷体" w:hint="eastAsia"/>
                <w:szCs w:val="21"/>
              </w:rPr>
              <w:t>1</w:t>
            </w:r>
            <w:r>
              <w:rPr>
                <w:rFonts w:eastAsia="楷体"/>
                <w:szCs w:val="21"/>
              </w:rPr>
              <w:t>0000</w:t>
            </w:r>
          </w:p>
        </w:tc>
      </w:tr>
      <w:tr w:rsidR="00823A52" w14:paraId="4A7FA8BE" w14:textId="77777777">
        <w:trPr>
          <w:trHeight w:hRule="exact" w:val="454"/>
        </w:trPr>
        <w:tc>
          <w:tcPr>
            <w:tcW w:w="1101" w:type="dxa"/>
            <w:tcBorders>
              <w:top w:val="single" w:sz="4" w:space="0" w:color="000000"/>
              <w:left w:val="single" w:sz="12" w:space="0" w:color="000000"/>
              <w:bottom w:val="single" w:sz="4" w:space="0" w:color="000000"/>
              <w:right w:val="single" w:sz="4" w:space="0" w:color="000000"/>
            </w:tcBorders>
            <w:vAlign w:val="center"/>
          </w:tcPr>
          <w:p w14:paraId="067A6A86" w14:textId="77777777" w:rsidR="00823A52" w:rsidRDefault="00000000">
            <w:pPr>
              <w:textAlignment w:val="center"/>
              <w:rPr>
                <w:rFonts w:eastAsia="楷体"/>
                <w:szCs w:val="21"/>
              </w:rPr>
            </w:pPr>
            <w:r>
              <w:rPr>
                <w:rFonts w:eastAsia="楷体" w:hint="eastAsia"/>
                <w:szCs w:val="21"/>
              </w:rPr>
              <w:t>2024.10.12</w:t>
            </w:r>
          </w:p>
        </w:tc>
        <w:tc>
          <w:tcPr>
            <w:tcW w:w="1111" w:type="dxa"/>
            <w:tcBorders>
              <w:top w:val="single" w:sz="4" w:space="0" w:color="000000"/>
              <w:left w:val="single" w:sz="4" w:space="0" w:color="000000"/>
              <w:bottom w:val="single" w:sz="4" w:space="0" w:color="000000"/>
              <w:right w:val="single" w:sz="4" w:space="0" w:color="000000"/>
            </w:tcBorders>
            <w:vAlign w:val="center"/>
          </w:tcPr>
          <w:p w14:paraId="215553E6" w14:textId="77777777" w:rsidR="00823A52" w:rsidRDefault="00000000">
            <w:pPr>
              <w:textAlignment w:val="center"/>
              <w:rPr>
                <w:rFonts w:eastAsia="楷体"/>
                <w:szCs w:val="21"/>
              </w:rPr>
            </w:pPr>
            <w:r>
              <w:rPr>
                <w:rFonts w:eastAsia="楷体" w:hint="eastAsia"/>
                <w:szCs w:val="21"/>
              </w:rPr>
              <w:t>107</w:t>
            </w:r>
            <w:r>
              <w:rPr>
                <w:rFonts w:eastAsia="楷体"/>
                <w:szCs w:val="21"/>
              </w:rPr>
              <w:t>#</w:t>
            </w:r>
          </w:p>
        </w:tc>
        <w:tc>
          <w:tcPr>
            <w:tcW w:w="4909" w:type="dxa"/>
            <w:tcBorders>
              <w:top w:val="single" w:sz="4" w:space="0" w:color="000000"/>
              <w:left w:val="single" w:sz="4" w:space="0" w:color="000000"/>
              <w:bottom w:val="single" w:sz="4" w:space="0" w:color="000000"/>
              <w:right w:val="single" w:sz="4" w:space="0" w:color="000000"/>
            </w:tcBorders>
            <w:vAlign w:val="center"/>
          </w:tcPr>
          <w:p w14:paraId="61806164" w14:textId="77777777" w:rsidR="00823A52" w:rsidRDefault="00000000">
            <w:pPr>
              <w:textAlignment w:val="center"/>
              <w:rPr>
                <w:rFonts w:eastAsia="楷体"/>
                <w:szCs w:val="21"/>
              </w:rPr>
            </w:pPr>
            <w:r>
              <w:rPr>
                <w:rFonts w:eastAsia="楷体" w:hint="eastAsia"/>
                <w:szCs w:val="21"/>
              </w:rPr>
              <w:t>泰州太美美在有</w:t>
            </w:r>
            <w:proofErr w:type="gramStart"/>
            <w:r>
              <w:rPr>
                <w:rFonts w:eastAsia="楷体" w:hint="eastAsia"/>
                <w:szCs w:val="21"/>
              </w:rPr>
              <w:t>爱捐款</w:t>
            </w:r>
            <w:proofErr w:type="gramEnd"/>
          </w:p>
        </w:tc>
        <w:tc>
          <w:tcPr>
            <w:tcW w:w="1182" w:type="dxa"/>
            <w:tcBorders>
              <w:top w:val="single" w:sz="4" w:space="0" w:color="000000"/>
              <w:left w:val="single" w:sz="4" w:space="0" w:color="000000"/>
              <w:bottom w:val="single" w:sz="4" w:space="0" w:color="000000"/>
              <w:right w:val="single" w:sz="12" w:space="0" w:color="000000"/>
            </w:tcBorders>
            <w:vAlign w:val="center"/>
          </w:tcPr>
          <w:p w14:paraId="15251412" w14:textId="77777777" w:rsidR="00823A52" w:rsidRDefault="00000000">
            <w:pPr>
              <w:jc w:val="right"/>
              <w:textAlignment w:val="center"/>
              <w:rPr>
                <w:rFonts w:eastAsia="楷体"/>
                <w:szCs w:val="21"/>
              </w:rPr>
            </w:pPr>
            <w:r>
              <w:rPr>
                <w:rFonts w:eastAsia="楷体" w:hint="eastAsia"/>
                <w:szCs w:val="21"/>
              </w:rPr>
              <w:t>1</w:t>
            </w:r>
            <w:r>
              <w:rPr>
                <w:rFonts w:eastAsia="楷体"/>
                <w:szCs w:val="21"/>
              </w:rPr>
              <w:t>0000</w:t>
            </w:r>
          </w:p>
        </w:tc>
      </w:tr>
      <w:tr w:rsidR="00823A52" w14:paraId="20B95A3C" w14:textId="77777777">
        <w:trPr>
          <w:trHeight w:hRule="exact" w:val="454"/>
        </w:trPr>
        <w:tc>
          <w:tcPr>
            <w:tcW w:w="7121" w:type="dxa"/>
            <w:gridSpan w:val="3"/>
            <w:tcBorders>
              <w:top w:val="single" w:sz="4" w:space="0" w:color="000000"/>
              <w:left w:val="single" w:sz="12" w:space="0" w:color="000000"/>
              <w:bottom w:val="single" w:sz="12" w:space="0" w:color="000000"/>
              <w:right w:val="single" w:sz="4" w:space="0" w:color="000000"/>
            </w:tcBorders>
            <w:vAlign w:val="center"/>
          </w:tcPr>
          <w:p w14:paraId="1E794F53" w14:textId="77777777" w:rsidR="00823A52" w:rsidRDefault="00000000">
            <w:pPr>
              <w:textAlignment w:val="center"/>
              <w:rPr>
                <w:rFonts w:eastAsia="楷体"/>
                <w:bCs/>
                <w:szCs w:val="21"/>
              </w:rPr>
            </w:pPr>
            <w:r>
              <w:rPr>
                <w:rFonts w:eastAsia="楷体"/>
                <w:bCs/>
                <w:szCs w:val="21"/>
              </w:rPr>
              <w:t>合</w:t>
            </w:r>
            <w:r>
              <w:rPr>
                <w:rStyle w:val="font31"/>
                <w:rFonts w:eastAsia="楷体"/>
                <w:b w:val="0"/>
                <w:bCs/>
                <w:szCs w:val="21"/>
              </w:rPr>
              <w:t xml:space="preserve">     </w:t>
            </w:r>
            <w:r>
              <w:rPr>
                <w:rStyle w:val="font11"/>
                <w:rFonts w:ascii="Times New Roman" w:eastAsia="楷体" w:hAnsi="Times New Roman" w:cs="Times New Roman"/>
                <w:bCs/>
                <w:szCs w:val="21"/>
              </w:rPr>
              <w:t>计</w:t>
            </w:r>
          </w:p>
        </w:tc>
        <w:tc>
          <w:tcPr>
            <w:tcW w:w="1182" w:type="dxa"/>
            <w:tcBorders>
              <w:top w:val="single" w:sz="4" w:space="0" w:color="000000"/>
              <w:left w:val="single" w:sz="4" w:space="0" w:color="000000"/>
              <w:bottom w:val="single" w:sz="12" w:space="0" w:color="000000"/>
              <w:right w:val="single" w:sz="12" w:space="0" w:color="000000"/>
            </w:tcBorders>
            <w:vAlign w:val="center"/>
          </w:tcPr>
          <w:p w14:paraId="2EE4F5E0" w14:textId="77777777" w:rsidR="00823A52" w:rsidRDefault="00000000">
            <w:pPr>
              <w:jc w:val="right"/>
              <w:textAlignment w:val="center"/>
              <w:rPr>
                <w:rFonts w:eastAsia="楷体"/>
                <w:bCs/>
                <w:szCs w:val="21"/>
              </w:rPr>
            </w:pPr>
            <w:r>
              <w:rPr>
                <w:rFonts w:eastAsia="楷体" w:hint="eastAsia"/>
                <w:bCs/>
                <w:szCs w:val="21"/>
              </w:rPr>
              <w:t>187320</w:t>
            </w:r>
          </w:p>
        </w:tc>
      </w:tr>
    </w:tbl>
    <w:p w14:paraId="01C76AB2" w14:textId="77777777" w:rsidR="00823A52" w:rsidRDefault="00823A52">
      <w:pPr>
        <w:spacing w:line="360" w:lineRule="auto"/>
        <w:ind w:left="284"/>
        <w:jc w:val="center"/>
        <w:rPr>
          <w:rFonts w:eastAsia="楷体"/>
          <w:sz w:val="24"/>
        </w:rPr>
      </w:pPr>
    </w:p>
    <w:p w14:paraId="5A54D94C" w14:textId="77777777" w:rsidR="00823A52" w:rsidRDefault="00823A52">
      <w:pPr>
        <w:pStyle w:val="a8"/>
        <w:spacing w:line="360" w:lineRule="auto"/>
        <w:ind w:left="644" w:firstLineChars="0" w:firstLine="0"/>
        <w:rPr>
          <w:rFonts w:eastAsia="楷体"/>
          <w:sz w:val="24"/>
        </w:rPr>
      </w:pPr>
    </w:p>
    <w:p w14:paraId="04212004" w14:textId="77777777" w:rsidR="00823A52" w:rsidRDefault="00000000">
      <w:pPr>
        <w:pStyle w:val="a8"/>
        <w:spacing w:line="360" w:lineRule="auto"/>
        <w:ind w:left="644" w:firstLineChars="0" w:firstLine="0"/>
        <w:jc w:val="right"/>
        <w:rPr>
          <w:rFonts w:eastAsia="楷体"/>
          <w:b/>
          <w:sz w:val="24"/>
        </w:rPr>
      </w:pPr>
      <w:r>
        <w:rPr>
          <w:rFonts w:eastAsia="楷体" w:hint="eastAsia"/>
          <w:b/>
          <w:sz w:val="24"/>
        </w:rPr>
        <w:t>江苏汇福蛋白科技</w:t>
      </w:r>
      <w:r>
        <w:rPr>
          <w:rFonts w:eastAsia="楷体"/>
          <w:b/>
          <w:sz w:val="24"/>
        </w:rPr>
        <w:t>有限公司</w:t>
      </w:r>
    </w:p>
    <w:p w14:paraId="05D5F70C" w14:textId="77777777" w:rsidR="00823A52" w:rsidRDefault="00000000">
      <w:pPr>
        <w:pStyle w:val="a8"/>
        <w:spacing w:line="360" w:lineRule="auto"/>
        <w:ind w:left="644" w:firstLineChars="0" w:firstLine="0"/>
        <w:jc w:val="right"/>
        <w:rPr>
          <w:rFonts w:eastAsia="楷体"/>
          <w:b/>
          <w:szCs w:val="21"/>
        </w:rPr>
      </w:pPr>
      <w:r>
        <w:rPr>
          <w:rFonts w:eastAsia="楷体"/>
          <w:b/>
          <w:sz w:val="24"/>
        </w:rPr>
        <w:t>202</w:t>
      </w:r>
      <w:r>
        <w:rPr>
          <w:rFonts w:eastAsia="楷体" w:hint="eastAsia"/>
          <w:b/>
          <w:sz w:val="24"/>
        </w:rPr>
        <w:t>5</w:t>
      </w:r>
      <w:r>
        <w:rPr>
          <w:rFonts w:eastAsia="楷体"/>
          <w:b/>
          <w:sz w:val="24"/>
        </w:rPr>
        <w:t>年</w:t>
      </w:r>
      <w:r>
        <w:rPr>
          <w:rFonts w:eastAsia="楷体" w:hint="eastAsia"/>
          <w:b/>
          <w:sz w:val="24"/>
        </w:rPr>
        <w:t>1</w:t>
      </w:r>
      <w:r>
        <w:rPr>
          <w:rFonts w:eastAsia="楷体"/>
          <w:b/>
          <w:sz w:val="24"/>
        </w:rPr>
        <w:t>月</w:t>
      </w:r>
      <w:r>
        <w:rPr>
          <w:rFonts w:eastAsia="楷体"/>
          <w:b/>
          <w:sz w:val="24"/>
        </w:rPr>
        <w:t>15</w:t>
      </w:r>
      <w:r>
        <w:rPr>
          <w:rFonts w:eastAsia="楷体"/>
          <w:b/>
          <w:sz w:val="24"/>
        </w:rPr>
        <w:t>日</w:t>
      </w:r>
    </w:p>
    <w:sectPr w:rsidR="00823A5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9F27" w14:textId="77777777" w:rsidR="00B516A2" w:rsidRDefault="00B516A2" w:rsidP="00377C2D">
      <w:r>
        <w:separator/>
      </w:r>
    </w:p>
  </w:endnote>
  <w:endnote w:type="continuationSeparator" w:id="0">
    <w:p w14:paraId="59A976FE" w14:textId="77777777" w:rsidR="00B516A2" w:rsidRDefault="00B516A2" w:rsidP="0037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B8D8" w14:textId="77777777" w:rsidR="00B516A2" w:rsidRDefault="00B516A2" w:rsidP="00377C2D">
      <w:r>
        <w:separator/>
      </w:r>
    </w:p>
  </w:footnote>
  <w:footnote w:type="continuationSeparator" w:id="0">
    <w:p w14:paraId="5D4CA92A" w14:textId="77777777" w:rsidR="00B516A2" w:rsidRDefault="00B516A2" w:rsidP="00377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F5E2E"/>
    <w:multiLevelType w:val="multilevel"/>
    <w:tmpl w:val="165F5E2E"/>
    <w:lvl w:ilvl="0">
      <w:start w:val="3"/>
      <w:numFmt w:val="decimal"/>
      <w:lvlText w:val="%1、"/>
      <w:lvlJc w:val="left"/>
      <w:pPr>
        <w:ind w:left="644" w:hanging="360"/>
      </w:pPr>
      <w:rPr>
        <w:rFonts w:hint="default"/>
      </w:rPr>
    </w:lvl>
    <w:lvl w:ilvl="1">
      <w:start w:val="1"/>
      <w:numFmt w:val="lowerLetter"/>
      <w:lvlText w:val="%2)"/>
      <w:lvlJc w:val="left"/>
      <w:pPr>
        <w:ind w:left="1344" w:hanging="420"/>
      </w:pPr>
    </w:lvl>
    <w:lvl w:ilvl="2">
      <w:start w:val="1"/>
      <w:numFmt w:val="lowerRoman"/>
      <w:lvlText w:val="%3."/>
      <w:lvlJc w:val="right"/>
      <w:pPr>
        <w:ind w:left="1764" w:hanging="420"/>
      </w:pPr>
    </w:lvl>
    <w:lvl w:ilvl="3">
      <w:start w:val="1"/>
      <w:numFmt w:val="decimal"/>
      <w:lvlText w:val="%4."/>
      <w:lvlJc w:val="left"/>
      <w:pPr>
        <w:ind w:left="2184" w:hanging="420"/>
      </w:pPr>
    </w:lvl>
    <w:lvl w:ilvl="4">
      <w:start w:val="1"/>
      <w:numFmt w:val="lowerLetter"/>
      <w:lvlText w:val="%5)"/>
      <w:lvlJc w:val="left"/>
      <w:pPr>
        <w:ind w:left="2604" w:hanging="420"/>
      </w:pPr>
    </w:lvl>
    <w:lvl w:ilvl="5">
      <w:start w:val="1"/>
      <w:numFmt w:val="lowerRoman"/>
      <w:lvlText w:val="%6."/>
      <w:lvlJc w:val="right"/>
      <w:pPr>
        <w:ind w:left="3024" w:hanging="420"/>
      </w:pPr>
    </w:lvl>
    <w:lvl w:ilvl="6">
      <w:start w:val="1"/>
      <w:numFmt w:val="decimal"/>
      <w:lvlText w:val="%7."/>
      <w:lvlJc w:val="left"/>
      <w:pPr>
        <w:ind w:left="3444" w:hanging="420"/>
      </w:pPr>
    </w:lvl>
    <w:lvl w:ilvl="7">
      <w:start w:val="1"/>
      <w:numFmt w:val="lowerLetter"/>
      <w:lvlText w:val="%8)"/>
      <w:lvlJc w:val="left"/>
      <w:pPr>
        <w:ind w:left="3864" w:hanging="420"/>
      </w:pPr>
    </w:lvl>
    <w:lvl w:ilvl="8">
      <w:start w:val="1"/>
      <w:numFmt w:val="lowerRoman"/>
      <w:lvlText w:val="%9."/>
      <w:lvlJc w:val="right"/>
      <w:pPr>
        <w:ind w:left="4284" w:hanging="420"/>
      </w:pPr>
    </w:lvl>
  </w:abstractNum>
  <w:abstractNum w:abstractNumId="1" w15:restartNumberingAfterBreak="0">
    <w:nsid w:val="17C62D07"/>
    <w:multiLevelType w:val="multilevel"/>
    <w:tmpl w:val="17C62D07"/>
    <w:lvl w:ilvl="0">
      <w:start w:val="2"/>
      <w:numFmt w:val="decimal"/>
      <w:lvlText w:val="%1、"/>
      <w:lvlJc w:val="left"/>
      <w:pPr>
        <w:ind w:left="504" w:hanging="504"/>
      </w:pPr>
      <w:rPr>
        <w:rFonts w:ascii="Times New Roman" w:hAnsi="Times New Roman" w:hint="default"/>
        <w:b/>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3601806"/>
    <w:multiLevelType w:val="multilevel"/>
    <w:tmpl w:val="33601806"/>
    <w:lvl w:ilvl="0">
      <w:start w:val="1"/>
      <w:numFmt w:val="bullet"/>
      <w:lvlText w:val=""/>
      <w:lvlJc w:val="left"/>
      <w:pPr>
        <w:ind w:left="766" w:hanging="420"/>
      </w:pPr>
      <w:rPr>
        <w:rFonts w:ascii="Wingdings" w:hAnsi="Wingdings" w:hint="default"/>
      </w:rPr>
    </w:lvl>
    <w:lvl w:ilvl="1">
      <w:start w:val="1"/>
      <w:numFmt w:val="bullet"/>
      <w:lvlText w:val=""/>
      <w:lvlJc w:val="left"/>
      <w:pPr>
        <w:ind w:left="1186" w:hanging="420"/>
      </w:pPr>
      <w:rPr>
        <w:rFonts w:ascii="Wingdings" w:hAnsi="Wingdings" w:hint="default"/>
      </w:rPr>
    </w:lvl>
    <w:lvl w:ilvl="2">
      <w:start w:val="1"/>
      <w:numFmt w:val="bullet"/>
      <w:lvlText w:val=""/>
      <w:lvlJc w:val="left"/>
      <w:pPr>
        <w:ind w:left="1606" w:hanging="420"/>
      </w:pPr>
      <w:rPr>
        <w:rFonts w:ascii="Wingdings" w:hAnsi="Wingdings" w:hint="default"/>
      </w:rPr>
    </w:lvl>
    <w:lvl w:ilvl="3">
      <w:start w:val="1"/>
      <w:numFmt w:val="bullet"/>
      <w:lvlText w:val=""/>
      <w:lvlJc w:val="left"/>
      <w:pPr>
        <w:ind w:left="2026" w:hanging="420"/>
      </w:pPr>
      <w:rPr>
        <w:rFonts w:ascii="Wingdings" w:hAnsi="Wingdings" w:hint="default"/>
      </w:rPr>
    </w:lvl>
    <w:lvl w:ilvl="4">
      <w:start w:val="1"/>
      <w:numFmt w:val="bullet"/>
      <w:lvlText w:val=""/>
      <w:lvlJc w:val="left"/>
      <w:pPr>
        <w:ind w:left="2446" w:hanging="420"/>
      </w:pPr>
      <w:rPr>
        <w:rFonts w:ascii="Wingdings" w:hAnsi="Wingdings" w:hint="default"/>
      </w:rPr>
    </w:lvl>
    <w:lvl w:ilvl="5">
      <w:start w:val="1"/>
      <w:numFmt w:val="bullet"/>
      <w:lvlText w:val=""/>
      <w:lvlJc w:val="left"/>
      <w:pPr>
        <w:ind w:left="2866" w:hanging="420"/>
      </w:pPr>
      <w:rPr>
        <w:rFonts w:ascii="Wingdings" w:hAnsi="Wingdings" w:hint="default"/>
      </w:rPr>
    </w:lvl>
    <w:lvl w:ilvl="6">
      <w:start w:val="1"/>
      <w:numFmt w:val="bullet"/>
      <w:lvlText w:val=""/>
      <w:lvlJc w:val="left"/>
      <w:pPr>
        <w:ind w:left="3286" w:hanging="420"/>
      </w:pPr>
      <w:rPr>
        <w:rFonts w:ascii="Wingdings" w:hAnsi="Wingdings" w:hint="default"/>
      </w:rPr>
    </w:lvl>
    <w:lvl w:ilvl="7">
      <w:start w:val="1"/>
      <w:numFmt w:val="bullet"/>
      <w:lvlText w:val=""/>
      <w:lvlJc w:val="left"/>
      <w:pPr>
        <w:ind w:left="3706" w:hanging="420"/>
      </w:pPr>
      <w:rPr>
        <w:rFonts w:ascii="Wingdings" w:hAnsi="Wingdings" w:hint="default"/>
      </w:rPr>
    </w:lvl>
    <w:lvl w:ilvl="8">
      <w:start w:val="1"/>
      <w:numFmt w:val="bullet"/>
      <w:lvlText w:val=""/>
      <w:lvlJc w:val="left"/>
      <w:pPr>
        <w:ind w:left="4126" w:hanging="420"/>
      </w:pPr>
      <w:rPr>
        <w:rFonts w:ascii="Wingdings" w:hAnsi="Wingdings" w:hint="default"/>
      </w:rPr>
    </w:lvl>
  </w:abstractNum>
  <w:num w:numId="1" w16cid:durableId="1508598510">
    <w:abstractNumId w:val="1"/>
  </w:num>
  <w:num w:numId="2" w16cid:durableId="2013798677">
    <w:abstractNumId w:val="2"/>
  </w:num>
  <w:num w:numId="3" w16cid:durableId="1479570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207F5"/>
    <w:rsid w:val="00035E93"/>
    <w:rsid w:val="00037858"/>
    <w:rsid w:val="00041287"/>
    <w:rsid w:val="00051CDC"/>
    <w:rsid w:val="000643BC"/>
    <w:rsid w:val="00064FFB"/>
    <w:rsid w:val="00067495"/>
    <w:rsid w:val="000959A1"/>
    <w:rsid w:val="000D46F1"/>
    <w:rsid w:val="000D6735"/>
    <w:rsid w:val="000E01E1"/>
    <w:rsid w:val="000E35B6"/>
    <w:rsid w:val="001027B9"/>
    <w:rsid w:val="00103E43"/>
    <w:rsid w:val="00133062"/>
    <w:rsid w:val="00135608"/>
    <w:rsid w:val="001407D0"/>
    <w:rsid w:val="00151A4B"/>
    <w:rsid w:val="00152516"/>
    <w:rsid w:val="00172A27"/>
    <w:rsid w:val="0019082C"/>
    <w:rsid w:val="00191BA6"/>
    <w:rsid w:val="001A5033"/>
    <w:rsid w:val="001A5E8E"/>
    <w:rsid w:val="001A60C2"/>
    <w:rsid w:val="001B6DBB"/>
    <w:rsid w:val="001D3495"/>
    <w:rsid w:val="001D7C2A"/>
    <w:rsid w:val="001E4418"/>
    <w:rsid w:val="001F446E"/>
    <w:rsid w:val="00200861"/>
    <w:rsid w:val="002227DC"/>
    <w:rsid w:val="00225A05"/>
    <w:rsid w:val="00227494"/>
    <w:rsid w:val="00232BD4"/>
    <w:rsid w:val="002531EF"/>
    <w:rsid w:val="00253CFE"/>
    <w:rsid w:val="00266931"/>
    <w:rsid w:val="00285497"/>
    <w:rsid w:val="002B1BD3"/>
    <w:rsid w:val="002C6D14"/>
    <w:rsid w:val="002E342F"/>
    <w:rsid w:val="002F5220"/>
    <w:rsid w:val="00303067"/>
    <w:rsid w:val="00350615"/>
    <w:rsid w:val="00356169"/>
    <w:rsid w:val="003703F0"/>
    <w:rsid w:val="00377C2D"/>
    <w:rsid w:val="00384CB3"/>
    <w:rsid w:val="00390D69"/>
    <w:rsid w:val="0039385D"/>
    <w:rsid w:val="00394BCB"/>
    <w:rsid w:val="003A7DD9"/>
    <w:rsid w:val="003B74D4"/>
    <w:rsid w:val="003B7BE0"/>
    <w:rsid w:val="003C45CF"/>
    <w:rsid w:val="003D59A4"/>
    <w:rsid w:val="003F1193"/>
    <w:rsid w:val="00432516"/>
    <w:rsid w:val="00433423"/>
    <w:rsid w:val="00434B85"/>
    <w:rsid w:val="00461811"/>
    <w:rsid w:val="004765AD"/>
    <w:rsid w:val="004943F1"/>
    <w:rsid w:val="004A6AB7"/>
    <w:rsid w:val="004B0BFD"/>
    <w:rsid w:val="004C38F6"/>
    <w:rsid w:val="004D29A4"/>
    <w:rsid w:val="004D62F8"/>
    <w:rsid w:val="005155E3"/>
    <w:rsid w:val="00516A7E"/>
    <w:rsid w:val="0052242F"/>
    <w:rsid w:val="00542CF0"/>
    <w:rsid w:val="00563799"/>
    <w:rsid w:val="00580A5D"/>
    <w:rsid w:val="00582869"/>
    <w:rsid w:val="005A541E"/>
    <w:rsid w:val="005A5A6B"/>
    <w:rsid w:val="005B458E"/>
    <w:rsid w:val="005B4887"/>
    <w:rsid w:val="005B5AFC"/>
    <w:rsid w:val="005C1391"/>
    <w:rsid w:val="006000FB"/>
    <w:rsid w:val="00602025"/>
    <w:rsid w:val="00613D7C"/>
    <w:rsid w:val="00613FDA"/>
    <w:rsid w:val="0063000C"/>
    <w:rsid w:val="00634C26"/>
    <w:rsid w:val="00637A47"/>
    <w:rsid w:val="00642CC0"/>
    <w:rsid w:val="00652903"/>
    <w:rsid w:val="006544E6"/>
    <w:rsid w:val="006617A3"/>
    <w:rsid w:val="00684BB2"/>
    <w:rsid w:val="006856E1"/>
    <w:rsid w:val="00686118"/>
    <w:rsid w:val="006A2C76"/>
    <w:rsid w:val="006A40FC"/>
    <w:rsid w:val="006A4E28"/>
    <w:rsid w:val="006A6A51"/>
    <w:rsid w:val="006B250A"/>
    <w:rsid w:val="006B4018"/>
    <w:rsid w:val="006D4479"/>
    <w:rsid w:val="006E369A"/>
    <w:rsid w:val="006F0CBD"/>
    <w:rsid w:val="006F3C49"/>
    <w:rsid w:val="00705EE5"/>
    <w:rsid w:val="00747662"/>
    <w:rsid w:val="00760DBE"/>
    <w:rsid w:val="00762C1E"/>
    <w:rsid w:val="00764912"/>
    <w:rsid w:val="007977C6"/>
    <w:rsid w:val="007A1665"/>
    <w:rsid w:val="007A1FD7"/>
    <w:rsid w:val="007A43FE"/>
    <w:rsid w:val="007B33C3"/>
    <w:rsid w:val="007B43F3"/>
    <w:rsid w:val="007C4447"/>
    <w:rsid w:val="007D5C8F"/>
    <w:rsid w:val="007F0DC3"/>
    <w:rsid w:val="008053AC"/>
    <w:rsid w:val="0081215C"/>
    <w:rsid w:val="0081687F"/>
    <w:rsid w:val="00817597"/>
    <w:rsid w:val="00823A52"/>
    <w:rsid w:val="00837439"/>
    <w:rsid w:val="00843ED9"/>
    <w:rsid w:val="00857D02"/>
    <w:rsid w:val="00882FEB"/>
    <w:rsid w:val="008C46CD"/>
    <w:rsid w:val="008D7C14"/>
    <w:rsid w:val="008F14D1"/>
    <w:rsid w:val="008F314B"/>
    <w:rsid w:val="00912E1C"/>
    <w:rsid w:val="009163BA"/>
    <w:rsid w:val="00920C1E"/>
    <w:rsid w:val="00960FE9"/>
    <w:rsid w:val="00984CF9"/>
    <w:rsid w:val="00997340"/>
    <w:rsid w:val="009A03FE"/>
    <w:rsid w:val="009B071E"/>
    <w:rsid w:val="009B5DB5"/>
    <w:rsid w:val="009D121A"/>
    <w:rsid w:val="009D6464"/>
    <w:rsid w:val="00A04819"/>
    <w:rsid w:val="00A16E16"/>
    <w:rsid w:val="00A46A54"/>
    <w:rsid w:val="00A62DCD"/>
    <w:rsid w:val="00A674C2"/>
    <w:rsid w:val="00A71D05"/>
    <w:rsid w:val="00A73313"/>
    <w:rsid w:val="00A8087E"/>
    <w:rsid w:val="00A95833"/>
    <w:rsid w:val="00AA1FBB"/>
    <w:rsid w:val="00AD49F1"/>
    <w:rsid w:val="00AE737D"/>
    <w:rsid w:val="00AF2DB4"/>
    <w:rsid w:val="00B22C73"/>
    <w:rsid w:val="00B23C46"/>
    <w:rsid w:val="00B516A2"/>
    <w:rsid w:val="00B57122"/>
    <w:rsid w:val="00B65F86"/>
    <w:rsid w:val="00B74DF4"/>
    <w:rsid w:val="00B75FEC"/>
    <w:rsid w:val="00B97F2B"/>
    <w:rsid w:val="00BD51C4"/>
    <w:rsid w:val="00C0023B"/>
    <w:rsid w:val="00C02AEB"/>
    <w:rsid w:val="00C254EF"/>
    <w:rsid w:val="00C30843"/>
    <w:rsid w:val="00C3594D"/>
    <w:rsid w:val="00C41373"/>
    <w:rsid w:val="00C97A50"/>
    <w:rsid w:val="00CA316B"/>
    <w:rsid w:val="00CC326B"/>
    <w:rsid w:val="00CC3906"/>
    <w:rsid w:val="00CC46E4"/>
    <w:rsid w:val="00CE301A"/>
    <w:rsid w:val="00D000F4"/>
    <w:rsid w:val="00D75496"/>
    <w:rsid w:val="00D80F1D"/>
    <w:rsid w:val="00D81325"/>
    <w:rsid w:val="00D81396"/>
    <w:rsid w:val="00DB20A6"/>
    <w:rsid w:val="00DC427B"/>
    <w:rsid w:val="00DD3AEE"/>
    <w:rsid w:val="00DF6E30"/>
    <w:rsid w:val="00E174F3"/>
    <w:rsid w:val="00E178FB"/>
    <w:rsid w:val="00E31C8D"/>
    <w:rsid w:val="00E32F3C"/>
    <w:rsid w:val="00E4638E"/>
    <w:rsid w:val="00E47FE4"/>
    <w:rsid w:val="00E506C7"/>
    <w:rsid w:val="00E52B8E"/>
    <w:rsid w:val="00E576E5"/>
    <w:rsid w:val="00E84013"/>
    <w:rsid w:val="00E964CE"/>
    <w:rsid w:val="00EA00DB"/>
    <w:rsid w:val="00EB2680"/>
    <w:rsid w:val="00EB60DB"/>
    <w:rsid w:val="00ED4BD5"/>
    <w:rsid w:val="00EE4699"/>
    <w:rsid w:val="00EF2AD6"/>
    <w:rsid w:val="00F036BF"/>
    <w:rsid w:val="00F06901"/>
    <w:rsid w:val="00F23E6E"/>
    <w:rsid w:val="00F240BA"/>
    <w:rsid w:val="00F36A52"/>
    <w:rsid w:val="00F441DF"/>
    <w:rsid w:val="00F45487"/>
    <w:rsid w:val="00F46F4A"/>
    <w:rsid w:val="00F65B57"/>
    <w:rsid w:val="00F91A3B"/>
    <w:rsid w:val="00F93C02"/>
    <w:rsid w:val="00FA27B5"/>
    <w:rsid w:val="00FA45C1"/>
    <w:rsid w:val="00FE2EA2"/>
    <w:rsid w:val="00FF353E"/>
    <w:rsid w:val="013F6B01"/>
    <w:rsid w:val="037472F8"/>
    <w:rsid w:val="041D6583"/>
    <w:rsid w:val="055405E8"/>
    <w:rsid w:val="0F9A13CF"/>
    <w:rsid w:val="17D64F6F"/>
    <w:rsid w:val="19ED01D8"/>
    <w:rsid w:val="220F2BA3"/>
    <w:rsid w:val="25432122"/>
    <w:rsid w:val="33784CD4"/>
    <w:rsid w:val="37A367C3"/>
    <w:rsid w:val="37D864DF"/>
    <w:rsid w:val="3DAB5B5F"/>
    <w:rsid w:val="3DEB4A20"/>
    <w:rsid w:val="3F91066C"/>
    <w:rsid w:val="4A9B5439"/>
    <w:rsid w:val="4B4A4208"/>
    <w:rsid w:val="4B9E7576"/>
    <w:rsid w:val="4CD25B49"/>
    <w:rsid w:val="4D1A0F3A"/>
    <w:rsid w:val="4E0955AB"/>
    <w:rsid w:val="5A7F67C4"/>
    <w:rsid w:val="5E4965B3"/>
    <w:rsid w:val="6C854EFB"/>
    <w:rsid w:val="6FE62692"/>
    <w:rsid w:val="70490D1F"/>
    <w:rsid w:val="734E2F37"/>
    <w:rsid w:val="77EE2A20"/>
    <w:rsid w:val="79B97E53"/>
    <w:rsid w:val="7C1C1D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E174C"/>
  <w15:docId w15:val="{C77DCB5E-C94F-48B1-BE2D-0CDD7375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Chars="1200" w:left="2520"/>
    </w:p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TOC8">
    <w:name w:val="toc 8"/>
    <w:basedOn w:val="a"/>
    <w:next w:val="a"/>
    <w:qFormat/>
    <w:pPr>
      <w:ind w:leftChars="1400" w:left="2940"/>
    </w:pPr>
  </w:style>
  <w:style w:type="paragraph" w:styleId="a3">
    <w:name w:val="Balloon Text"/>
    <w:basedOn w:val="a"/>
    <w:link w:val="a4"/>
    <w:uiPriority w:val="99"/>
    <w:unhideWhenUsed/>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rPr>
      <w:b/>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TOC2">
    <w:name w:val="toc 2"/>
    <w:basedOn w:val="a"/>
    <w:next w:val="a"/>
    <w:uiPriority w:val="39"/>
    <w:qFormat/>
    <w:pPr>
      <w:ind w:leftChars="200" w:left="420"/>
    </w:pPr>
  </w:style>
  <w:style w:type="paragraph" w:styleId="TOC9">
    <w:name w:val="toc 9"/>
    <w:basedOn w:val="a"/>
    <w:next w:val="a"/>
    <w:qFormat/>
    <w:pPr>
      <w:ind w:leftChars="1600" w:left="3360"/>
    </w:pPr>
  </w:style>
  <w:style w:type="character" w:styleId="a7">
    <w:name w:val="Hyperlink"/>
    <w:uiPriority w:val="99"/>
    <w:unhideWhenUsed/>
    <w:qFormat/>
    <w:rPr>
      <w:color w:val="0563C1"/>
      <w:u w:val="single"/>
    </w:rPr>
  </w:style>
  <w:style w:type="character" w:customStyle="1" w:styleId="30">
    <w:name w:val="标题 3 字符"/>
    <w:link w:val="3"/>
    <w:qFormat/>
    <w:rPr>
      <w:b/>
      <w:sz w:val="32"/>
    </w:rPr>
  </w:style>
  <w:style w:type="character" w:customStyle="1" w:styleId="a4">
    <w:name w:val="批注框文本 字符"/>
    <w:basedOn w:val="a0"/>
    <w:link w:val="a3"/>
    <w:uiPriority w:val="99"/>
    <w:semiHidden/>
    <w:qFormat/>
    <w:rPr>
      <w:kern w:val="2"/>
      <w:sz w:val="18"/>
      <w:szCs w:val="18"/>
    </w:rPr>
  </w:style>
  <w:style w:type="character" w:customStyle="1" w:styleId="20">
    <w:name w:val="标题 2 字符"/>
    <w:basedOn w:val="a0"/>
    <w:link w:val="2"/>
    <w:qFormat/>
    <w:rPr>
      <w:rFonts w:ascii="Arial" w:eastAsia="黑体" w:hAnsi="Arial"/>
      <w:b/>
      <w:kern w:val="2"/>
      <w:sz w:val="32"/>
    </w:rPr>
  </w:style>
  <w:style w:type="paragraph" w:customStyle="1" w:styleId="10">
    <w:name w:val="列出段落1"/>
    <w:basedOn w:val="a"/>
    <w:uiPriority w:val="99"/>
    <w:qFormat/>
    <w:pPr>
      <w:ind w:firstLineChars="200" w:firstLine="420"/>
    </w:pPr>
  </w:style>
  <w:style w:type="paragraph" w:styleId="a8">
    <w:name w:val="List Paragraph"/>
    <w:basedOn w:val="a"/>
    <w:uiPriority w:val="99"/>
    <w:unhideWhenUsed/>
    <w:qFormat/>
    <w:pPr>
      <w:ind w:firstLineChars="200" w:firstLine="420"/>
    </w:pPr>
  </w:style>
  <w:style w:type="character" w:customStyle="1" w:styleId="font11">
    <w:name w:val="font11"/>
    <w:basedOn w:val="a0"/>
    <w:qFormat/>
    <w:rPr>
      <w:rFonts w:ascii="Calibri" w:hAnsi="Calibri" w:cs="Calibri" w:hint="default"/>
      <w:color w:val="000000"/>
      <w:sz w:val="20"/>
      <w:szCs w:val="20"/>
      <w:u w:val="none"/>
    </w:rPr>
  </w:style>
  <w:style w:type="character" w:customStyle="1" w:styleId="font31">
    <w:name w:val="font31"/>
    <w:basedOn w:val="a0"/>
    <w:qFormat/>
    <w:rPr>
      <w:rFonts w:ascii="Times New Roman" w:hAnsi="Times New Roman" w:cs="Times New Roman" w:hint="default"/>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3FE6A-A1CF-4C18-B101-1310B7587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5597</Words>
  <Characters>5878</Characters>
  <Application>Microsoft Office Word</Application>
  <DocSecurity>0</DocSecurity>
  <Lines>293</Lines>
  <Paragraphs>244</Paragraphs>
  <ScaleCrop>false</ScaleCrop>
  <Company>yzr</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上能电气股份有限公司社会责任报告</dc:title>
  <dc:creator>user</dc:creator>
  <cp:lastModifiedBy>dcj1033963088@163.com</cp:lastModifiedBy>
  <cp:revision>24</cp:revision>
  <cp:lastPrinted>2018-08-15T13:55:00Z</cp:lastPrinted>
  <dcterms:created xsi:type="dcterms:W3CDTF">2018-08-15T13:55:00Z</dcterms:created>
  <dcterms:modified xsi:type="dcterms:W3CDTF">2025-07-28T02:47:00Z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eyJoZGlkIjoiYTIxNDYyZmFhMjk3MjQzNjI4MTI4OTk1YjM3MDFkOTciLCJ1c2VySWQiOiIyMDg0NzkwNTkifQ==</vt:lpwstr>
  </property>
  <property fmtid="{D5CDD505-2E9C-101B-9397-08002B2CF9AE}" pid="4" name="ICV">
    <vt:lpwstr>8AB37E680DE94974BC1DEC9832B98425_13</vt:lpwstr>
  </property>
</Properties>
</file>